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istParagraph"/>
        <w:numPr>
          <w:ilvl w:val="0"/>
          <w:numId w:val="24"/>
        </w:numPr>
        <w:suppressAutoHyphens w:val="false"/>
        <w:ind w:left="0" w:firstLine="540"/>
        <w:rPr>
          <w:rFonts w:ascii="Times New Roman" w:hAnsi="Times New Roman"/>
        </w:rPr>
      </w:pPr>
      <w:r>
        <w:rPr>
          <w:color w:val="000000" w:themeColor="text1"/>
        </w:rPr>
        <w:t xml:space="preserve">На основу члана 46 </w:t>
      </w:r>
      <w:r>
        <w:rPr/>
        <w:t>Закон</w:t>
      </w:r>
      <w:r>
        <w:rPr>
          <w:lang w:val="sr-RS"/>
        </w:rPr>
        <w:t>а</w:t>
      </w:r>
      <w:r>
        <w:rPr/>
        <w:t xml:space="preserve"> о планирању и изградњи („Службени гласник РС“, бр. 72/09, 81/09-исправка., 64/10-одлука УС, 24/11, 121/12, 42/13-одлука УС, 50/13-одлука УС</w:t>
      </w:r>
      <w:r>
        <w:rPr>
          <w:lang w:val="sr-RS"/>
        </w:rPr>
        <w:t>,</w:t>
      </w:r>
      <w:r>
        <w:rPr/>
        <w:t xml:space="preserve"> 98/13-одлука УС, 132/14, 145/14, 83/18, 31/19, 37/19-др.закон, 9/20</w:t>
      </w:r>
      <w:r>
        <w:rPr>
          <w:lang w:val="sr-RS"/>
        </w:rPr>
        <w:t xml:space="preserve">. </w:t>
      </w:r>
      <w:r>
        <w:rPr>
          <w:rFonts w:eastAsia="Times New Roman"/>
          <w:lang w:val="sr-RS"/>
        </w:rPr>
        <w:t xml:space="preserve">52/21 и </w:t>
      </w:r>
      <w:r>
        <w:rPr>
          <w:bCs/>
          <w:lang w:val="sr-RS"/>
        </w:rPr>
        <w:t>62/2023</w:t>
      </w:r>
      <w:r>
        <w:rPr/>
        <w:t>)</w:t>
      </w:r>
      <w:r>
        <w:rPr>
          <w:lang w:val="sr-RS"/>
        </w:rPr>
        <w:t xml:space="preserve"> </w:t>
      </w:r>
      <w:r>
        <w:rPr>
          <w:color w:val="000000" w:themeColor="text1"/>
        </w:rPr>
        <w:t xml:space="preserve">и члана 40. </w:t>
      </w:r>
      <w:r>
        <w:rPr>
          <w:color w:val="000000" w:themeColor="text1"/>
          <w:lang w:val="sr-RS"/>
        </w:rPr>
        <w:t xml:space="preserve">став </w:t>
      </w:r>
      <w:r>
        <w:rPr>
          <w:color w:val="000000" w:themeColor="text1"/>
        </w:rPr>
        <w:t xml:space="preserve">1. тачка </w:t>
      </w:r>
      <w:r>
        <w:rPr>
          <w:color w:val="000000" w:themeColor="text1"/>
          <w:lang w:val="sr-RS"/>
        </w:rPr>
        <w:t>5</w:t>
      </w:r>
      <w:r>
        <w:rPr>
          <w:color w:val="000000" w:themeColor="text1"/>
        </w:rPr>
        <w:t xml:space="preserve">. Статута општине Ражањ </w:t>
      </w:r>
      <w:r>
        <w:rPr/>
        <w:t>(Службени лист</w:t>
      </w:r>
      <w:r>
        <w:rPr>
          <w:lang w:val="sr-RS"/>
        </w:rPr>
        <w:t>, по прибављеном мишљењу Комисије за планове</w:t>
      </w:r>
      <w:r>
        <w:rPr/>
        <w:t xml:space="preserve"> општине Ражањ број</w:t>
      </w:r>
      <w:r>
        <w:rPr>
          <w:lang w:val="sr-RS"/>
        </w:rPr>
        <w:t>: 06-10/23-11 од 23.02.2023. године)</w:t>
      </w:r>
      <w:r>
        <w:rPr>
          <w:lang w:val="ru-RU"/>
        </w:rPr>
        <w:t xml:space="preserve">, </w:t>
      </w:r>
      <w:r>
        <w:rPr/>
        <w:t>Скупштина општине Ражањ на седници одржаној _________________ 202</w:t>
      </w:r>
      <w:r>
        <w:rPr>
          <w:lang w:val="sr-RS"/>
        </w:rPr>
        <w:t>4</w:t>
      </w:r>
      <w:r>
        <w:rPr/>
        <w:t>. године донела је:</w:t>
      </w:r>
    </w:p>
    <w:p>
      <w:pPr>
        <w:pStyle w:val="Normal"/>
        <w:rPr>
          <w:rFonts w:ascii="Times New Roman" w:hAnsi="Times New Roman"/>
          <w:color w:val="FF0000"/>
          <w:szCs w:val="24"/>
          <w:lang w:val="ru-RU"/>
        </w:rPr>
      </w:pPr>
      <w:r>
        <w:rPr>
          <w:color w:val="FF0000"/>
          <w:szCs w:val="24"/>
          <w:lang w:val="ru-RU"/>
        </w:rPr>
      </w:r>
    </w:p>
    <w:p>
      <w:pPr>
        <w:pStyle w:val="Normal"/>
        <w:rPr>
          <w:rFonts w:ascii="Times New Roman" w:hAnsi="Times New Roman"/>
          <w:szCs w:val="24"/>
          <w:lang w:val="ru-RU"/>
        </w:rPr>
      </w:pPr>
      <w:r>
        <w:rPr>
          <w:szCs w:val="24"/>
          <w:lang w:val="ru-RU"/>
        </w:rPr>
      </w:r>
    </w:p>
    <w:p>
      <w:pPr>
        <w:pStyle w:val="Normal"/>
        <w:jc w:val="center"/>
        <w:rPr>
          <w:rFonts w:ascii="Times New Roman" w:hAnsi="Times New Roman"/>
        </w:rPr>
      </w:pPr>
      <w:r>
        <w:rPr>
          <w:b/>
          <w:sz w:val="40"/>
          <w:szCs w:val="40"/>
          <w:shd w:fill="auto" w:val="clear"/>
        </w:rPr>
        <w:t>ПЛАН ДЕТАЉНЕ РЕГУЛАЦИЈЕ</w:t>
      </w:r>
    </w:p>
    <w:p>
      <w:pPr>
        <w:pStyle w:val="Normal"/>
        <w:jc w:val="center"/>
        <w:rPr>
          <w:rFonts w:ascii="Times New Roman" w:hAnsi="Times New Roman"/>
        </w:rPr>
      </w:pPr>
      <w:r>
        <w:rPr>
          <w:b/>
          <w:sz w:val="28"/>
          <w:szCs w:val="28"/>
          <w:shd w:fill="auto" w:val="clear"/>
        </w:rPr>
        <w:t>ЗА ПОСТРОЈЕЊЕ ЗА ПРЕЧИШЋАВАЊЕ ОТПАДНИХ ВОДА</w:t>
      </w:r>
    </w:p>
    <w:p>
      <w:pPr>
        <w:pStyle w:val="Normal"/>
        <w:suppressAutoHyphens w:val="false"/>
        <w:jc w:val="center"/>
        <w:rPr>
          <w:rFonts w:ascii="Times New Roman" w:hAnsi="Times New Roman"/>
        </w:rPr>
      </w:pPr>
      <w:bookmarkStart w:id="0" w:name="_Hlk146101363"/>
      <w:bookmarkStart w:id="1" w:name="_Hlk1461013631"/>
      <w:bookmarkEnd w:id="0"/>
      <w:bookmarkEnd w:id="1"/>
      <w:r>
        <w:rPr>
          <w:b/>
          <w:sz w:val="28"/>
          <w:szCs w:val="28"/>
          <w:shd w:fill="auto" w:val="clear"/>
          <w:lang w:val="sr-CS"/>
        </w:rPr>
        <w:t>НАСЕЉА В</w:t>
      </w:r>
      <w:r>
        <w:rPr>
          <w:rFonts w:eastAsia="" w:cs="Times New Roman"/>
          <w:b/>
          <w:color w:val="000000"/>
          <w:kern w:val="0"/>
          <w:sz w:val="28"/>
          <w:szCs w:val="28"/>
          <w:shd w:fill="auto" w:val="clear"/>
          <w:lang w:val="sr-RS" w:eastAsia="en-US" w:bidi="ar-SA"/>
        </w:rPr>
        <w:t>ИТОШЕВАЦ</w:t>
      </w:r>
    </w:p>
    <w:p>
      <w:pPr>
        <w:pStyle w:val="Normal"/>
        <w:widowControl w:val="false"/>
        <w:ind w:right="30" w:hanging="0"/>
        <w:jc w:val="center"/>
        <w:rPr>
          <w:rFonts w:ascii="Times New Roman" w:hAnsi="Times New Roman"/>
          <w:b/>
          <w:b/>
          <w:bCs/>
          <w:spacing w:val="-1"/>
          <w:szCs w:val="24"/>
        </w:rPr>
      </w:pPr>
      <w:r>
        <w:rPr>
          <w:b/>
          <w:bCs/>
          <w:spacing w:val="-1"/>
          <w:szCs w:val="24"/>
        </w:rPr>
      </w:r>
    </w:p>
    <w:p>
      <w:pPr>
        <w:pStyle w:val="Normal"/>
        <w:widowControl w:val="false"/>
        <w:ind w:right="30" w:hanging="0"/>
        <w:jc w:val="center"/>
        <w:rPr>
          <w:rFonts w:ascii="Times New Roman" w:hAnsi="Times New Roman"/>
          <w:b/>
          <w:b/>
          <w:bCs/>
          <w:spacing w:val="-1"/>
          <w:szCs w:val="24"/>
        </w:rPr>
      </w:pPr>
      <w:r>
        <w:rPr>
          <w:b/>
          <w:bCs/>
          <w:spacing w:val="-1"/>
          <w:szCs w:val="24"/>
        </w:rPr>
      </w:r>
    </w:p>
    <w:p>
      <w:pPr>
        <w:pStyle w:val="Normal"/>
        <w:widowControl w:val="false"/>
        <w:ind w:right="30" w:hanging="0"/>
        <w:jc w:val="center"/>
        <w:rPr>
          <w:szCs w:val="24"/>
        </w:rPr>
      </w:pPr>
      <w:r>
        <w:rPr>
          <w:b/>
          <w:bCs/>
          <w:szCs w:val="24"/>
          <w:lang w:val="sr-RS"/>
        </w:rPr>
        <w:t>План је суфинансиран  од стране Министарства грађевинарства, саобраћаја и инфраструктуре</w:t>
      </w:r>
    </w:p>
    <w:p>
      <w:pPr>
        <w:pStyle w:val="Normal"/>
        <w:widowControl w:val="false"/>
        <w:ind w:right="30" w:hanging="0"/>
        <w:jc w:val="center"/>
        <w:rPr>
          <w:rFonts w:ascii="Times New Roman" w:hAnsi="Times New Roman"/>
          <w:szCs w:val="24"/>
          <w:lang w:val="sr-RS"/>
        </w:rPr>
      </w:pPr>
      <w:r>
        <w:rPr>
          <w:szCs w:val="24"/>
          <w:lang w:val="sr-RS"/>
        </w:rPr>
      </w:r>
    </w:p>
    <w:p>
      <w:pPr>
        <w:pStyle w:val="Normal"/>
        <w:widowControl w:val="false"/>
        <w:ind w:right="30" w:hanging="0"/>
        <w:jc w:val="center"/>
        <w:rPr>
          <w:rFonts w:ascii="Times New Roman" w:hAnsi="Times New Roman"/>
          <w:szCs w:val="24"/>
          <w:lang w:val="sr-RS"/>
        </w:rPr>
      </w:pPr>
      <w:r>
        <w:rPr>
          <w:szCs w:val="24"/>
          <w:lang w:val="sr-RS"/>
        </w:rPr>
      </w:r>
    </w:p>
    <w:p>
      <w:pPr>
        <w:pStyle w:val="Normal"/>
        <w:rPr>
          <w:rFonts w:ascii="Times New Roman" w:hAnsi="Times New Roman"/>
        </w:rPr>
      </w:pPr>
      <w:bookmarkStart w:id="2" w:name="_Hlk151986323"/>
      <w:bookmarkStart w:id="3" w:name="_Hlk129087174"/>
      <w:bookmarkStart w:id="4" w:name="_Hlk126058198"/>
      <w:r>
        <w:rPr>
          <w:bCs/>
          <w:szCs w:val="24"/>
          <w:lang w:val="ru-RU"/>
        </w:rPr>
        <w:t>План детаљне регулације за постројењ</w:t>
      </w:r>
      <w:r>
        <w:rPr>
          <w:bCs/>
          <w:szCs w:val="24"/>
        </w:rPr>
        <w:t>е</w:t>
      </w:r>
      <w:r>
        <w:rPr>
          <w:bCs/>
          <w:szCs w:val="24"/>
          <w:lang w:val="ru-RU"/>
        </w:rPr>
        <w:t xml:space="preserve"> за </w:t>
      </w:r>
      <w:bookmarkStart w:id="5" w:name="_Hlk126314343"/>
      <w:r>
        <w:rPr>
          <w:bCs/>
          <w:szCs w:val="24"/>
          <w:lang w:val="ru-RU"/>
        </w:rPr>
        <w:t xml:space="preserve">пречишћавање оптадних вода </w:t>
      </w:r>
      <w:bookmarkEnd w:id="4"/>
      <w:bookmarkEnd w:id="5"/>
      <w:r>
        <w:rPr>
          <w:bCs/>
          <w:szCs w:val="24"/>
          <w:lang w:val="ru-RU"/>
        </w:rPr>
        <w:t xml:space="preserve">насеља </w:t>
      </w:r>
      <w:bookmarkEnd w:id="3"/>
      <w:r>
        <w:rPr>
          <w:bCs/>
          <w:szCs w:val="24"/>
          <w:lang w:val="ru-RU"/>
        </w:rPr>
        <w:t>Витошевац</w:t>
      </w:r>
      <w:r>
        <w:rPr>
          <w:bCs/>
          <w:szCs w:val="24"/>
        </w:rPr>
        <w:t xml:space="preserve"> </w:t>
      </w:r>
      <w:bookmarkEnd w:id="2"/>
      <w:r>
        <w:rPr>
          <w:bCs/>
          <w:szCs w:val="24"/>
        </w:rPr>
        <w:t>садржи:</w:t>
      </w:r>
    </w:p>
    <w:p>
      <w:pPr>
        <w:pStyle w:val="Normal"/>
        <w:numPr>
          <w:ilvl w:val="0"/>
          <w:numId w:val="3"/>
        </w:numPr>
        <w:tabs>
          <w:tab w:val="clear" w:pos="720"/>
          <w:tab w:val="left" w:pos="567" w:leader="none"/>
          <w:tab w:val="center" w:pos="4153" w:leader="none"/>
          <w:tab w:val="right" w:pos="8306" w:leader="none"/>
          <w:tab w:val="right" w:pos="8640" w:leader="none"/>
        </w:tabs>
        <w:suppressAutoHyphens w:val="false"/>
        <w:ind w:left="567" w:hanging="283"/>
        <w:rPr>
          <w:rFonts w:ascii="Times New Roman" w:hAnsi="Times New Roman"/>
        </w:rPr>
      </w:pPr>
      <w:r>
        <w:rPr>
          <w:szCs w:val="24"/>
        </w:rPr>
        <w:t>Текстуалн</w:t>
      </w:r>
      <w:r>
        <w:rPr>
          <w:rFonts w:eastAsia="SimSun"/>
          <w:szCs w:val="24"/>
        </w:rPr>
        <w:t>и део</w:t>
      </w:r>
      <w:r>
        <w:rPr>
          <w:szCs w:val="24"/>
        </w:rPr>
        <w:t>: правила уређења и правила грађења;</w:t>
      </w:r>
    </w:p>
    <w:p>
      <w:pPr>
        <w:pStyle w:val="Normal"/>
        <w:numPr>
          <w:ilvl w:val="0"/>
          <w:numId w:val="3"/>
        </w:numPr>
        <w:tabs>
          <w:tab w:val="clear" w:pos="720"/>
          <w:tab w:val="left" w:pos="567" w:leader="none"/>
        </w:tabs>
        <w:suppressAutoHyphens w:val="false"/>
        <w:ind w:left="567" w:hanging="283"/>
        <w:rPr>
          <w:rFonts w:ascii="Times New Roman" w:hAnsi="Times New Roman"/>
        </w:rPr>
      </w:pPr>
      <w:r>
        <w:rPr>
          <w:szCs w:val="24"/>
        </w:rPr>
        <w:t>Графички део;</w:t>
      </w:r>
    </w:p>
    <w:p>
      <w:pPr>
        <w:pStyle w:val="Normal"/>
        <w:numPr>
          <w:ilvl w:val="0"/>
          <w:numId w:val="3"/>
        </w:numPr>
        <w:tabs>
          <w:tab w:val="clear" w:pos="720"/>
          <w:tab w:val="left" w:pos="567" w:leader="none"/>
        </w:tabs>
        <w:suppressAutoHyphens w:val="false"/>
        <w:ind w:left="567" w:hanging="283"/>
        <w:rPr>
          <w:rFonts w:ascii="Times New Roman" w:hAnsi="Times New Roman"/>
        </w:rPr>
      </w:pPr>
      <w:r>
        <w:rPr>
          <w:szCs w:val="24"/>
        </w:rPr>
        <w:t>Документациони део.</w:t>
      </w:r>
    </w:p>
    <w:p>
      <w:pPr>
        <w:pStyle w:val="Normal"/>
        <w:rPr>
          <w:rFonts w:ascii="Times New Roman" w:hAnsi="Times New Roman"/>
          <w:szCs w:val="24"/>
        </w:rPr>
      </w:pPr>
      <w:r>
        <w:rPr>
          <w:szCs w:val="24"/>
        </w:rPr>
      </w:r>
    </w:p>
    <w:p>
      <w:pPr>
        <w:pStyle w:val="Normal"/>
        <w:suppressAutoHyphens w:val="false"/>
        <w:jc w:val="left"/>
        <w:rPr>
          <w:rFonts w:ascii="Times New Roman" w:hAnsi="Times New Roman"/>
        </w:rPr>
      </w:pPr>
      <w:r>
        <w:rPr>
          <w:b/>
          <w:i/>
          <w:iCs/>
          <w:sz w:val="28"/>
          <w:szCs w:val="28"/>
        </w:rPr>
        <w:t>I     O П Ш Т И   Д Е О</w:t>
      </w:r>
    </w:p>
    <w:p>
      <w:pPr>
        <w:pStyle w:val="Normal"/>
        <w:suppressAutoHyphens w:val="false"/>
        <w:rPr>
          <w:rFonts w:ascii="Times New Roman" w:hAnsi="Times New Roman"/>
          <w:szCs w:val="24"/>
        </w:rPr>
      </w:pPr>
      <w:r>
        <w:rPr>
          <w:szCs w:val="24"/>
        </w:rPr>
      </w:r>
    </w:p>
    <w:p>
      <w:pPr>
        <w:pStyle w:val="ListParagraph"/>
        <w:numPr>
          <w:ilvl w:val="0"/>
          <w:numId w:val="2"/>
        </w:numPr>
        <w:tabs>
          <w:tab w:val="clear" w:pos="720"/>
          <w:tab w:val="left" w:pos="426" w:leader="none"/>
        </w:tabs>
        <w:ind w:left="0" w:hanging="0"/>
        <w:rPr>
          <w:rFonts w:ascii="Times New Roman" w:hAnsi="Times New Roman"/>
        </w:rPr>
      </w:pPr>
      <w:r>
        <w:rPr>
          <w:b/>
        </w:rPr>
        <w:t>Повод и циљ израде Плана</w:t>
      </w:r>
    </w:p>
    <w:p>
      <w:pPr>
        <w:pStyle w:val="ListParagraph"/>
        <w:tabs>
          <w:tab w:val="clear" w:pos="720"/>
          <w:tab w:val="left" w:pos="426" w:leader="none"/>
        </w:tabs>
        <w:ind w:left="4950" w:hanging="0"/>
        <w:rPr>
          <w:rFonts w:ascii="Times New Roman" w:hAnsi="Times New Roman"/>
          <w:b/>
          <w:b/>
        </w:rPr>
      </w:pPr>
      <w:r>
        <w:rPr>
          <w:b/>
        </w:rPr>
      </w:r>
    </w:p>
    <w:p>
      <w:pPr>
        <w:pStyle w:val="Normal"/>
        <w:ind w:firstLine="426"/>
        <w:rPr>
          <w:rFonts w:ascii="Times New Roman" w:hAnsi="Times New Roman"/>
        </w:rPr>
      </w:pPr>
      <w:r>
        <w:rPr>
          <w:b/>
          <w:bCs/>
          <w:szCs w:val="24"/>
          <w:lang w:val="ru-RU"/>
        </w:rPr>
        <w:t xml:space="preserve">Повод </w:t>
      </w:r>
      <w:r>
        <w:rPr>
          <w:bCs/>
          <w:szCs w:val="24"/>
          <w:lang w:val="ru-RU"/>
        </w:rPr>
        <w:t>за израду Плана детаљне регулације за постројењ</w:t>
      </w:r>
      <w:r>
        <w:rPr>
          <w:bCs/>
          <w:szCs w:val="24"/>
        </w:rPr>
        <w:t>е</w:t>
      </w:r>
      <w:r>
        <w:rPr>
          <w:bCs/>
          <w:szCs w:val="24"/>
          <w:lang w:val="ru-RU"/>
        </w:rPr>
        <w:t xml:space="preserve"> за пречишћавање оптадних вода насеља Витошевац</w:t>
      </w:r>
      <w:r>
        <w:rPr>
          <w:bCs/>
          <w:szCs w:val="24"/>
        </w:rPr>
        <w:t xml:space="preserve"> </w:t>
      </w:r>
      <w:r>
        <w:rPr>
          <w:szCs w:val="24"/>
        </w:rPr>
        <w:t xml:space="preserve">(у даљем тексту План) је:  </w:t>
      </w:r>
    </w:p>
    <w:p>
      <w:pPr>
        <w:pStyle w:val="Normal"/>
        <w:ind w:firstLine="426"/>
        <w:rPr>
          <w:rFonts w:ascii="Times New Roman" w:hAnsi="Times New Roman"/>
        </w:rPr>
      </w:pPr>
      <w:r>
        <w:rPr>
          <w:szCs w:val="24"/>
        </w:rPr>
        <w:t xml:space="preserve">Одлука о изради </w:t>
      </w:r>
      <w:r>
        <w:rPr>
          <w:bCs/>
          <w:szCs w:val="24"/>
          <w:lang w:val="ru-RU"/>
        </w:rPr>
        <w:t>Плана детаљне регулације за постројењ</w:t>
      </w:r>
      <w:r>
        <w:rPr>
          <w:bCs/>
          <w:szCs w:val="24"/>
        </w:rPr>
        <w:t>е</w:t>
      </w:r>
      <w:r>
        <w:rPr>
          <w:bCs/>
          <w:szCs w:val="24"/>
          <w:lang w:val="ru-RU"/>
        </w:rPr>
        <w:t xml:space="preserve"> за пречишћавање оптадних вода насеља Витошевац</w:t>
      </w:r>
      <w:r>
        <w:rPr>
          <w:szCs w:val="24"/>
        </w:rPr>
        <w:t xml:space="preserve"> </w:t>
      </w:r>
      <w:r>
        <w:rPr>
          <w:lang w:val="sr-RS"/>
        </w:rPr>
        <w:t xml:space="preserve">коју је донела </w:t>
      </w:r>
      <w:r>
        <w:rPr/>
        <w:t>Скупштин</w:t>
      </w:r>
      <w:r>
        <w:rPr>
          <w:lang w:val="sr-RS"/>
        </w:rPr>
        <w:t>а</w:t>
      </w:r>
      <w:r>
        <w:rPr/>
        <w:t xml:space="preserve"> o</w:t>
      </w:r>
      <w:r>
        <w:rPr>
          <w:lang w:val="sr-RS"/>
        </w:rPr>
        <w:t xml:space="preserve">пштине Ражањ, </w:t>
      </w:r>
      <w:r>
        <w:rPr/>
        <w:t>бр.</w:t>
      </w:r>
      <w:r>
        <w:rPr>
          <w:lang w:val="sr-RS"/>
        </w:rPr>
        <w:t>350</w:t>
      </w:r>
      <w:r>
        <w:rPr/>
        <w:t>-</w:t>
      </w:r>
      <w:r>
        <w:rPr>
          <w:lang w:val="sr-RS"/>
        </w:rPr>
        <w:t>6/23-11</w:t>
      </w:r>
      <w:r>
        <w:rPr/>
        <w:t xml:space="preserve"> дана </w:t>
      </w:r>
      <w:r>
        <w:rPr>
          <w:lang w:val="sr-RS"/>
        </w:rPr>
        <w:t>28.02.2023</w:t>
      </w:r>
      <w:r>
        <w:rPr/>
        <w:t>. године</w:t>
      </w:r>
      <w:r>
        <w:rPr>
          <w:lang w:val="sr-RS"/>
        </w:rPr>
        <w:t xml:space="preserve"> (</w:t>
      </w:r>
      <w:r>
        <w:rPr/>
        <w:t>,,Службен</w:t>
      </w:r>
      <w:r>
        <w:rPr>
          <w:lang w:val="sr-RS"/>
        </w:rPr>
        <w:t>и</w:t>
      </w:r>
      <w:r>
        <w:rPr/>
        <w:t xml:space="preserve"> лист </w:t>
      </w:r>
      <w:r>
        <w:rPr>
          <w:lang w:val="sr-RS"/>
        </w:rPr>
        <w:t>општине Ражањ", број 3/2023).</w:t>
      </w:r>
    </w:p>
    <w:p>
      <w:pPr>
        <w:pStyle w:val="Normal"/>
        <w:ind w:firstLine="426"/>
        <w:rPr>
          <w:rFonts w:ascii="Times New Roman" w:hAnsi="Times New Roman"/>
        </w:rPr>
      </w:pPr>
      <w:r>
        <w:rPr>
          <w:b/>
          <w:szCs w:val="24"/>
        </w:rPr>
        <w:t>Циљ</w:t>
      </w:r>
      <w:r>
        <w:rPr>
          <w:szCs w:val="24"/>
        </w:rPr>
        <w:t xml:space="preserve"> израде Плана је:</w:t>
      </w:r>
    </w:p>
    <w:p>
      <w:pPr>
        <w:pStyle w:val="Normal"/>
        <w:ind w:firstLine="720"/>
        <w:rPr>
          <w:rFonts w:ascii="Times New Roman" w:hAnsi="Times New Roman"/>
        </w:rPr>
      </w:pPr>
      <w:r>
        <w:rPr>
          <w:szCs w:val="24"/>
          <w:lang w:val="sr-RS"/>
        </w:rPr>
        <w:t>- да буде у функцији изградње и несметане експлоатације постројења за пречишћавање отпадних вода;</w:t>
      </w:r>
    </w:p>
    <w:p>
      <w:pPr>
        <w:pStyle w:val="Normal"/>
        <w:ind w:firstLine="720"/>
        <w:rPr>
          <w:rFonts w:ascii="Times New Roman" w:hAnsi="Times New Roman"/>
        </w:rPr>
      </w:pPr>
      <w:r>
        <w:rPr>
          <w:bCs/>
          <w:szCs w:val="24"/>
          <w:lang w:val="ru-RU"/>
        </w:rPr>
        <w:t xml:space="preserve">- очување животне средине и водотока на простору насеља Витошевац и насеља низводно; </w:t>
      </w:r>
    </w:p>
    <w:p>
      <w:pPr>
        <w:pStyle w:val="Normal"/>
        <w:ind w:firstLine="720"/>
        <w:rPr>
          <w:rFonts w:ascii="Times New Roman" w:hAnsi="Times New Roman"/>
        </w:rPr>
      </w:pPr>
      <w:r>
        <w:rPr>
          <w:szCs w:val="24"/>
          <w:lang w:val="sr-RS"/>
        </w:rPr>
        <w:t xml:space="preserve">- </w:t>
      </w:r>
      <w:r>
        <w:rPr>
          <w:szCs w:val="24"/>
        </w:rPr>
        <w:t xml:space="preserve">стварање </w:t>
      </w:r>
      <w:r>
        <w:rPr>
          <w:szCs w:val="24"/>
          <w:lang w:val="sr-RS"/>
        </w:rPr>
        <w:t xml:space="preserve">адекватних услова за изградњу постројења и свих пратећих коридора </w:t>
      </w:r>
      <w:r>
        <w:rPr>
          <w:szCs w:val="24"/>
        </w:rPr>
        <w:t xml:space="preserve"> комуналне инфраструктуре</w:t>
      </w:r>
      <w:r>
        <w:rPr>
          <w:szCs w:val="24"/>
          <w:lang w:val="sr-RS"/>
        </w:rPr>
        <w:t xml:space="preserve"> потребних за изградњу постројења</w:t>
      </w:r>
      <w:r>
        <w:rPr>
          <w:szCs w:val="24"/>
        </w:rPr>
        <w:t>;</w:t>
      </w:r>
    </w:p>
    <w:p>
      <w:pPr>
        <w:pStyle w:val="Normal"/>
        <w:ind w:firstLine="720"/>
        <w:rPr>
          <w:rFonts w:ascii="Times New Roman" w:hAnsi="Times New Roman"/>
        </w:rPr>
      </w:pPr>
      <w:r>
        <w:rPr>
          <w:szCs w:val="24"/>
          <w:lang w:val="sr-RS"/>
        </w:rPr>
        <w:t>- у оквиру обухвата Плана неопходно је дати све потребне урбанистичке параметре потребне за изградњу ППОВ;</w:t>
      </w:r>
    </w:p>
    <w:p>
      <w:pPr>
        <w:pStyle w:val="Normal"/>
        <w:ind w:firstLine="720"/>
        <w:rPr>
          <w:rFonts w:ascii="Times New Roman" w:hAnsi="Times New Roman"/>
        </w:rPr>
      </w:pPr>
      <w:r>
        <w:rPr>
          <w:szCs w:val="24"/>
          <w:lang w:val="sr-RS"/>
        </w:rPr>
        <w:t>- одредити локацију и усагласити је са извођачким и интересима заштите животне средине;</w:t>
      </w:r>
    </w:p>
    <w:p>
      <w:pPr>
        <w:pStyle w:val="Normal"/>
        <w:ind w:firstLine="720"/>
        <w:rPr>
          <w:rFonts w:ascii="Times New Roman" w:hAnsi="Times New Roman"/>
        </w:rPr>
      </w:pPr>
      <w:r>
        <w:rPr>
          <w:szCs w:val="24"/>
          <w:lang w:val="sr-RS"/>
        </w:rPr>
        <w:t xml:space="preserve">- </w:t>
      </w:r>
      <w:r>
        <w:rPr>
          <w:szCs w:val="24"/>
        </w:rPr>
        <w:t>решавање имовинско-правних односа</w:t>
      </w:r>
      <w:r>
        <w:rPr>
          <w:szCs w:val="24"/>
          <w:lang w:val="sr-RS"/>
        </w:rPr>
        <w:t xml:space="preserve"> односно одредити јавни интерес на планском решењу земљишта јавне намене;</w:t>
      </w:r>
    </w:p>
    <w:p>
      <w:pPr>
        <w:pStyle w:val="Normal"/>
        <w:ind w:firstLine="720"/>
        <w:rPr>
          <w:rFonts w:ascii="Times New Roman" w:hAnsi="Times New Roman"/>
        </w:rPr>
      </w:pPr>
      <w:r>
        <w:rPr>
          <w:szCs w:val="24"/>
          <w:lang w:val="sr-RS"/>
        </w:rPr>
        <w:t xml:space="preserve">- </w:t>
      </w:r>
      <w:r>
        <w:rPr>
          <w:szCs w:val="24"/>
        </w:rPr>
        <w:t>обезбеђење бољих услова и коришћења простора;</w:t>
      </w:r>
    </w:p>
    <w:p>
      <w:pPr>
        <w:pStyle w:val="Normal"/>
        <w:ind w:firstLine="720"/>
        <w:rPr>
          <w:rFonts w:ascii="Times New Roman" w:hAnsi="Times New Roman"/>
        </w:rPr>
      </w:pPr>
      <w:r>
        <w:rPr>
          <w:szCs w:val="24"/>
          <w:lang w:val="sr-RS"/>
        </w:rPr>
        <w:t xml:space="preserve">- створити услове за </w:t>
      </w:r>
      <w:r>
        <w:rPr>
          <w:szCs w:val="24"/>
        </w:rPr>
        <w:t>подизање опште развијености простора;</w:t>
      </w:r>
    </w:p>
    <w:p>
      <w:pPr>
        <w:pStyle w:val="Normal"/>
        <w:ind w:firstLine="720"/>
        <w:rPr>
          <w:rFonts w:ascii="Times New Roman" w:hAnsi="Times New Roman"/>
        </w:rPr>
      </w:pPr>
      <w:r>
        <w:rPr>
          <w:szCs w:val="24"/>
          <w:lang w:val="sr-RS"/>
        </w:rPr>
        <w:t>- стварање пласког основа за израду техничке документације за потребе изградње.</w:t>
      </w:r>
    </w:p>
    <w:p>
      <w:pPr>
        <w:pStyle w:val="Normal"/>
        <w:tabs>
          <w:tab w:val="clear" w:pos="720"/>
          <w:tab w:val="left" w:pos="7950" w:leader="none"/>
        </w:tabs>
        <w:rPr>
          <w:rFonts w:ascii="Times New Roman" w:hAnsi="Times New Roman"/>
          <w:szCs w:val="24"/>
        </w:rPr>
      </w:pPr>
      <w:r>
        <w:rPr>
          <w:szCs w:val="24"/>
        </w:rPr>
      </w:r>
    </w:p>
    <w:p>
      <w:pPr>
        <w:pStyle w:val="Normal"/>
        <w:tabs>
          <w:tab w:val="clear" w:pos="720"/>
          <w:tab w:val="left" w:pos="7950" w:leader="none"/>
        </w:tabs>
        <w:rPr>
          <w:rFonts w:ascii="Times New Roman" w:hAnsi="Times New Roman"/>
        </w:rPr>
      </w:pPr>
      <w:r>
        <w:rPr>
          <w:szCs w:val="24"/>
          <w:lang w:val="sr-RS"/>
        </w:rPr>
        <w:t xml:space="preserve">У реализацији Плана посебну пажњу посветити заштити простора: земље, надземних и подземних вода тако да планирано постројење у процесу рада не угрожава прописани водни режим (квалитет и квантитет свих вода), не врши загађење земљишта и не утиче на здравље људи, животињског и биљног света у околини и низводно од планиране локације.  </w:t>
      </w:r>
    </w:p>
    <w:p>
      <w:pPr>
        <w:pStyle w:val="Normal"/>
        <w:tabs>
          <w:tab w:val="clear" w:pos="720"/>
          <w:tab w:val="left" w:pos="7950" w:leader="none"/>
        </w:tabs>
        <w:rPr>
          <w:rFonts w:ascii="Times New Roman" w:hAnsi="Times New Roman"/>
          <w:color w:val="FF0000"/>
        </w:rPr>
      </w:pPr>
      <w:r>
        <w:rPr>
          <w:color w:val="FF0000"/>
        </w:rPr>
      </w:r>
    </w:p>
    <w:p>
      <w:pPr>
        <w:pStyle w:val="ListParagraph"/>
        <w:numPr>
          <w:ilvl w:val="0"/>
          <w:numId w:val="2"/>
        </w:numPr>
        <w:tabs>
          <w:tab w:val="clear" w:pos="720"/>
          <w:tab w:val="left" w:pos="426" w:leader="none"/>
        </w:tabs>
        <w:suppressAutoHyphens w:val="false"/>
        <w:ind w:left="4950" w:hanging="4950"/>
        <w:rPr>
          <w:rFonts w:ascii="Times New Roman" w:hAnsi="Times New Roman"/>
        </w:rPr>
      </w:pPr>
      <w:r>
        <w:rPr>
          <w:b/>
        </w:rPr>
        <w:t>Правни и плански основ</w:t>
      </w:r>
    </w:p>
    <w:p>
      <w:pPr>
        <w:pStyle w:val="ListParagraph"/>
        <w:tabs>
          <w:tab w:val="clear" w:pos="720"/>
          <w:tab w:val="left" w:pos="426" w:leader="none"/>
        </w:tabs>
        <w:suppressAutoHyphens w:val="false"/>
        <w:ind w:left="4950" w:hanging="0"/>
        <w:rPr>
          <w:rFonts w:ascii="Times New Roman" w:hAnsi="Times New Roman"/>
          <w:b/>
          <w:b/>
        </w:rPr>
      </w:pPr>
      <w:r>
        <w:rPr>
          <w:b/>
        </w:rPr>
      </w:r>
    </w:p>
    <w:p>
      <w:pPr>
        <w:pStyle w:val="Normal"/>
        <w:suppressAutoHyphens w:val="false"/>
        <w:ind w:firstLine="426"/>
        <w:rPr>
          <w:rFonts w:ascii="Times New Roman" w:hAnsi="Times New Roman"/>
        </w:rPr>
      </w:pPr>
      <w:r>
        <w:rPr>
          <w:b/>
          <w:szCs w:val="24"/>
        </w:rPr>
        <w:t>Правни основ</w:t>
      </w:r>
      <w:r>
        <w:rPr>
          <w:szCs w:val="24"/>
        </w:rPr>
        <w:t xml:space="preserve"> за израду Плана чине:</w:t>
      </w:r>
    </w:p>
    <w:p>
      <w:pPr>
        <w:pStyle w:val="Normal"/>
        <w:suppressAutoHyphens w:val="false"/>
        <w:ind w:firstLine="426"/>
        <w:rPr>
          <w:rFonts w:ascii="Times New Roman" w:hAnsi="Times New Roman"/>
          <w:color w:val="FF0000"/>
        </w:rPr>
      </w:pPr>
      <w:r>
        <w:rPr>
          <w:color w:val="FF0000"/>
        </w:rPr>
      </w:r>
    </w:p>
    <w:p>
      <w:pPr>
        <w:pStyle w:val="Normal"/>
        <w:numPr>
          <w:ilvl w:val="0"/>
          <w:numId w:val="23"/>
        </w:numPr>
        <w:suppressAutoHyphens w:val="false"/>
        <w:rPr>
          <w:rFonts w:ascii="Times New Roman" w:hAnsi="Times New Roman"/>
        </w:rPr>
      </w:pPr>
      <w:r>
        <w:rPr/>
        <w:t>Закон о планирању и изградњи („Службени гласник РС“, бр. 72/09, 81/09-исправка., 64/10-одлука УС, 24/11, 121/12, 42/13-одлука УС, 50/13-одлука УС</w:t>
      </w:r>
      <w:r>
        <w:rPr>
          <w:lang w:val="sr-RS"/>
        </w:rPr>
        <w:t>,</w:t>
      </w:r>
      <w:r>
        <w:rPr/>
        <w:t xml:space="preserve"> 98/13-одлука УС, 132/14, 145/14, 83/18, 31/19, 37/19-др.закон, 9/20,</w:t>
      </w:r>
      <w:r>
        <w:rPr>
          <w:lang w:val="sr-RS"/>
        </w:rPr>
        <w:t xml:space="preserve"> </w:t>
      </w:r>
      <w:r>
        <w:rPr>
          <w:rFonts w:eastAsia="Times New Roman"/>
          <w:lang w:val="sr-RS"/>
        </w:rPr>
        <w:t xml:space="preserve">52/21 и </w:t>
      </w:r>
      <w:r>
        <w:rPr>
          <w:bCs/>
          <w:lang w:val="sr-RS"/>
        </w:rPr>
        <w:t>62/2023</w:t>
      </w:r>
      <w:r>
        <w:rPr>
          <w:rFonts w:eastAsia="Times New Roman"/>
          <w:lang w:val="sr-RS"/>
        </w:rPr>
        <w:t xml:space="preserve"> </w:t>
      </w:r>
      <w:r>
        <w:rPr/>
        <w:t>);</w:t>
      </w:r>
    </w:p>
    <w:p>
      <w:pPr>
        <w:pStyle w:val="Normal"/>
        <w:numPr>
          <w:ilvl w:val="0"/>
          <w:numId w:val="23"/>
        </w:numPr>
        <w:suppressAutoHyphens w:val="false"/>
        <w:rPr>
          <w:rFonts w:ascii="Times New Roman" w:hAnsi="Times New Roman"/>
        </w:rPr>
      </w:pPr>
      <w:r>
        <w:rPr>
          <w:szCs w:val="24"/>
          <w:lang w:val="en-GB"/>
        </w:rPr>
        <w:t>Правилник о садржини, начину и поступку израде докумената просторног и урбанистичког планирања („Службени гласник РС“ бр. 32/2019)</w:t>
      </w:r>
      <w:r>
        <w:rPr>
          <w:szCs w:val="24"/>
        </w:rPr>
        <w:t>;</w:t>
      </w:r>
    </w:p>
    <w:p>
      <w:pPr>
        <w:pStyle w:val="ListParagraph"/>
        <w:numPr>
          <w:ilvl w:val="0"/>
          <w:numId w:val="23"/>
        </w:numPr>
        <w:suppressAutoHyphens w:val="false"/>
        <w:rPr>
          <w:rFonts w:ascii="Times New Roman" w:hAnsi="Times New Roman"/>
        </w:rPr>
      </w:pPr>
      <w:r>
        <w:rPr/>
        <w:t xml:space="preserve">Одлука о изради </w:t>
      </w:r>
      <w:r>
        <w:rPr>
          <w:bCs/>
          <w:lang w:val="ru-RU"/>
        </w:rPr>
        <w:t>Плана детаљне регулације за постројењ</w:t>
      </w:r>
      <w:r>
        <w:rPr>
          <w:bCs/>
        </w:rPr>
        <w:t>е</w:t>
      </w:r>
      <w:r>
        <w:rPr>
          <w:bCs/>
          <w:lang w:val="ru-RU"/>
        </w:rPr>
        <w:t xml:space="preserve"> за пречишћавање оптадних вода насеља Витошевац</w:t>
      </w:r>
      <w:r>
        <w:rPr/>
        <w:t xml:space="preserve"> </w:t>
      </w:r>
      <w:r>
        <w:rPr>
          <w:lang w:val="sr-RS"/>
        </w:rPr>
        <w:t xml:space="preserve">коју је донела </w:t>
      </w:r>
      <w:r>
        <w:rPr/>
        <w:t>Скупштин</w:t>
      </w:r>
      <w:r>
        <w:rPr>
          <w:lang w:val="sr-RS"/>
        </w:rPr>
        <w:t>а</w:t>
      </w:r>
      <w:r>
        <w:rPr/>
        <w:t xml:space="preserve"> o</w:t>
      </w:r>
      <w:r>
        <w:rPr>
          <w:lang w:val="sr-RS"/>
        </w:rPr>
        <w:t xml:space="preserve">пштине Ражањ, </w:t>
      </w:r>
      <w:r>
        <w:rPr/>
        <w:t>бр.</w:t>
      </w:r>
      <w:r>
        <w:rPr>
          <w:lang w:val="sr-RS"/>
        </w:rPr>
        <w:t>350</w:t>
      </w:r>
      <w:r>
        <w:rPr/>
        <w:t>-</w:t>
      </w:r>
      <w:r>
        <w:rPr>
          <w:lang w:val="sr-RS"/>
        </w:rPr>
        <w:t>6/23-11</w:t>
      </w:r>
      <w:r>
        <w:rPr/>
        <w:t xml:space="preserve"> дана </w:t>
      </w:r>
      <w:r>
        <w:rPr>
          <w:lang w:val="sr-RS"/>
        </w:rPr>
        <w:t>28.02.2023</w:t>
      </w:r>
      <w:r>
        <w:rPr/>
        <w:t>.године</w:t>
      </w:r>
      <w:r>
        <w:rPr>
          <w:lang w:val="sr-RS"/>
        </w:rPr>
        <w:t xml:space="preserve"> (</w:t>
      </w:r>
      <w:r>
        <w:rPr/>
        <w:t>,,Службен</w:t>
      </w:r>
      <w:r>
        <w:rPr>
          <w:lang w:val="sr-RS"/>
        </w:rPr>
        <w:t>и</w:t>
      </w:r>
      <w:r>
        <w:rPr/>
        <w:t xml:space="preserve"> лист </w:t>
      </w:r>
      <w:r>
        <w:rPr>
          <w:lang w:val="sr-RS"/>
        </w:rPr>
        <w:t>општине Ражањ", број 3/2023)</w:t>
      </w:r>
      <w:r>
        <w:rPr/>
        <w:t>;</w:t>
      </w:r>
    </w:p>
    <w:p>
      <w:pPr>
        <w:pStyle w:val="Normal"/>
        <w:numPr>
          <w:ilvl w:val="0"/>
          <w:numId w:val="23"/>
        </w:numPr>
        <w:suppressAutoHyphens w:val="false"/>
        <w:rPr>
          <w:rFonts w:ascii="Times New Roman" w:hAnsi="Times New Roman"/>
        </w:rPr>
      </w:pPr>
      <w:r>
        <w:rPr>
          <w:szCs w:val="24"/>
        </w:rPr>
        <w:t xml:space="preserve">Одлука о приступању изради </w:t>
      </w:r>
      <w:bookmarkStart w:id="6" w:name="_Hlk156908684"/>
      <w:r>
        <w:rPr>
          <w:szCs w:val="24"/>
        </w:rPr>
        <w:t xml:space="preserve">Стратешке процене утицаја на животну средину </w:t>
      </w:r>
      <w:r>
        <w:rPr>
          <w:szCs w:val="24"/>
          <w:lang w:val="ru-RU"/>
        </w:rPr>
        <w:t xml:space="preserve">Плана детаљне регулације </w:t>
      </w:r>
      <w:r>
        <w:rPr>
          <w:szCs w:val="24"/>
        </w:rPr>
        <w:t xml:space="preserve">за изградњу постројења за пречишћавање оптадних вода </w:t>
      </w:r>
      <w:r>
        <w:rPr>
          <w:szCs w:val="24"/>
          <w:lang w:val="ru-RU"/>
        </w:rPr>
        <w:t xml:space="preserve">насеља </w:t>
      </w:r>
      <w:r>
        <w:rPr>
          <w:bCs/>
          <w:szCs w:val="24"/>
          <w:lang w:val="ru-RU"/>
        </w:rPr>
        <w:t>Витошевац</w:t>
      </w:r>
      <w:r>
        <w:rPr>
          <w:szCs w:val="24"/>
        </w:rPr>
        <w:t xml:space="preserve"> </w:t>
      </w:r>
      <w:bookmarkEnd w:id="6"/>
      <w:r>
        <w:rPr>
          <w:szCs w:val="24"/>
        </w:rPr>
        <w:t xml:space="preserve">(„Службени лист општине Ражањ“, број </w:t>
      </w:r>
      <w:r>
        <w:rPr>
          <w:lang w:val="sr-RS"/>
        </w:rPr>
        <w:t>3/2023</w:t>
      </w:r>
      <w:r>
        <w:rPr>
          <w:szCs w:val="24"/>
        </w:rPr>
        <w:t>), од 2</w:t>
      </w:r>
      <w:r>
        <w:rPr>
          <w:szCs w:val="24"/>
          <w:lang w:val="sr-RS"/>
        </w:rPr>
        <w:t>8</w:t>
      </w:r>
      <w:r>
        <w:rPr>
          <w:szCs w:val="24"/>
        </w:rPr>
        <w:t>.0</w:t>
      </w:r>
      <w:r>
        <w:rPr>
          <w:szCs w:val="24"/>
          <w:lang w:val="sr-RS"/>
        </w:rPr>
        <w:t>2</w:t>
      </w:r>
      <w:r>
        <w:rPr>
          <w:szCs w:val="24"/>
        </w:rPr>
        <w:t>.202</w:t>
      </w:r>
      <w:r>
        <w:rPr>
          <w:szCs w:val="24"/>
          <w:lang w:val="sr-RS"/>
        </w:rPr>
        <w:t>3</w:t>
      </w:r>
      <w:r>
        <w:rPr>
          <w:szCs w:val="24"/>
        </w:rPr>
        <w:t>. године</w:t>
      </w:r>
      <w:bookmarkStart w:id="7" w:name="_Hlk146017278"/>
      <w:bookmarkEnd w:id="7"/>
      <w:r>
        <w:rPr>
          <w:szCs w:val="24"/>
        </w:rPr>
        <w:t>;</w:t>
      </w:r>
    </w:p>
    <w:p>
      <w:pPr>
        <w:pStyle w:val="Normal"/>
        <w:suppressAutoHyphens w:val="false"/>
        <w:ind w:firstLine="426"/>
        <w:rPr>
          <w:rFonts w:ascii="Times New Roman" w:hAnsi="Times New Roman"/>
          <w:b/>
          <w:b/>
          <w:color w:val="FF0000"/>
          <w:szCs w:val="24"/>
        </w:rPr>
      </w:pPr>
      <w:r>
        <w:rPr>
          <w:b/>
          <w:color w:val="FF0000"/>
          <w:szCs w:val="24"/>
        </w:rPr>
      </w:r>
    </w:p>
    <w:p>
      <w:pPr>
        <w:pStyle w:val="Normal"/>
        <w:suppressAutoHyphens w:val="false"/>
        <w:ind w:firstLine="426"/>
        <w:rPr>
          <w:rFonts w:ascii="Times New Roman" w:hAnsi="Times New Roman"/>
        </w:rPr>
      </w:pPr>
      <w:r>
        <w:rPr>
          <w:b/>
          <w:szCs w:val="24"/>
        </w:rPr>
        <w:t>Плански основ</w:t>
      </w:r>
      <w:r>
        <w:rPr>
          <w:szCs w:val="24"/>
        </w:rPr>
        <w:t>:</w:t>
      </w:r>
    </w:p>
    <w:p>
      <w:pPr>
        <w:pStyle w:val="Normal"/>
        <w:numPr>
          <w:ilvl w:val="0"/>
          <w:numId w:val="24"/>
        </w:numPr>
        <w:suppressAutoHyphens w:val="false"/>
        <w:ind w:left="810" w:hanging="360"/>
        <w:rPr>
          <w:rFonts w:ascii="Times New Roman" w:hAnsi="Times New Roman"/>
        </w:rPr>
      </w:pPr>
      <w:r>
        <w:rPr>
          <w:szCs w:val="24"/>
          <w:lang w:val="sr-RS"/>
        </w:rPr>
        <w:t>Просторни план општине Ражањ</w:t>
      </w:r>
      <w:r>
        <w:rPr>
          <w:szCs w:val="24"/>
          <w:lang w:val="en-GB"/>
        </w:rPr>
        <w:t xml:space="preserve"> (,,Службени лист </w:t>
      </w:r>
      <w:r>
        <w:rPr>
          <w:szCs w:val="24"/>
          <w:lang w:val="sr-RS"/>
        </w:rPr>
        <w:t>општине Ражањ</w:t>
      </w:r>
      <w:r>
        <w:rPr>
          <w:szCs w:val="24"/>
          <w:lang w:val="en-GB"/>
        </w:rPr>
        <w:t xml:space="preserve">“ број </w:t>
      </w:r>
      <w:r>
        <w:rPr>
          <w:szCs w:val="24"/>
          <w:lang w:val="sr-RS"/>
        </w:rPr>
        <w:t>4</w:t>
      </w:r>
      <w:r>
        <w:rPr>
          <w:szCs w:val="24"/>
          <w:lang w:val="en-GB"/>
        </w:rPr>
        <w:t>/</w:t>
      </w:r>
      <w:r>
        <w:rPr>
          <w:szCs w:val="24"/>
          <w:lang w:val="sr-RS"/>
        </w:rPr>
        <w:t>20</w:t>
      </w:r>
      <w:r>
        <w:rPr>
          <w:szCs w:val="24"/>
          <w:lang w:val="en-GB"/>
        </w:rPr>
        <w:t>1</w:t>
      </w:r>
      <w:r>
        <w:rPr>
          <w:szCs w:val="24"/>
          <w:lang w:val="sr-RS"/>
        </w:rPr>
        <w:t>2 и 1/2021 и 12/23</w:t>
      </w:r>
      <w:r>
        <w:rPr>
          <w:szCs w:val="24"/>
          <w:lang w:val="en-GB"/>
        </w:rPr>
        <w:t>)</w:t>
      </w:r>
      <w:r>
        <w:rPr>
          <w:szCs w:val="24"/>
          <w:lang w:val="sr-RS"/>
        </w:rPr>
        <w:t>;</w:t>
      </w:r>
    </w:p>
    <w:p>
      <w:pPr>
        <w:pStyle w:val="Normal"/>
        <w:rPr>
          <w:rFonts w:ascii="Times New Roman" w:hAnsi="Times New Roman"/>
          <w:szCs w:val="24"/>
        </w:rPr>
      </w:pPr>
      <w:r>
        <w:rPr>
          <w:szCs w:val="24"/>
        </w:rPr>
      </w:r>
    </w:p>
    <w:p>
      <w:pPr>
        <w:pStyle w:val="ListParagraph"/>
        <w:numPr>
          <w:ilvl w:val="0"/>
          <w:numId w:val="2"/>
        </w:numPr>
        <w:tabs>
          <w:tab w:val="clear" w:pos="720"/>
          <w:tab w:val="left" w:pos="426" w:leader="none"/>
        </w:tabs>
        <w:ind w:left="0" w:hanging="0"/>
        <w:rPr>
          <w:rFonts w:ascii="Times New Roman" w:hAnsi="Times New Roman"/>
        </w:rPr>
      </w:pPr>
      <w:r>
        <w:rPr>
          <w:b/>
        </w:rPr>
        <w:t>Опис обухвата планског документа</w:t>
        <w:tab/>
      </w:r>
    </w:p>
    <w:p>
      <w:pPr>
        <w:pStyle w:val="ListParagraph"/>
        <w:tabs>
          <w:tab w:val="clear" w:pos="720"/>
          <w:tab w:val="left" w:pos="426" w:leader="none"/>
        </w:tabs>
        <w:ind w:left="0" w:hanging="0"/>
        <w:rPr>
          <w:rFonts w:ascii="Times New Roman" w:hAnsi="Times New Roman"/>
          <w:b/>
          <w:b/>
        </w:rPr>
      </w:pPr>
      <w:r>
        <w:rPr>
          <w:b/>
        </w:rPr>
      </w:r>
    </w:p>
    <w:p>
      <w:pPr>
        <w:pStyle w:val="Normal"/>
        <w:spacing w:before="0" w:after="0"/>
        <w:ind w:firstLine="567"/>
        <w:contextualSpacing/>
        <w:rPr>
          <w:rFonts w:ascii="Times New Roman" w:hAnsi="Times New Roman"/>
        </w:rPr>
      </w:pPr>
      <w:r>
        <w:rPr>
          <w:b/>
          <w:bCs/>
        </w:rPr>
        <w:t>Обухват Плана</w:t>
      </w:r>
      <w:r>
        <w:rPr/>
        <w:t xml:space="preserve"> се налази у оквиру катастарске  општине </w:t>
      </w:r>
      <w:r>
        <w:rPr>
          <w:szCs w:val="24"/>
          <w:lang w:val="sr-RS"/>
        </w:rPr>
        <w:t>Витошевац</w:t>
      </w:r>
      <w:r>
        <w:rPr/>
        <w:t xml:space="preserve"> </w:t>
      </w:r>
      <w:r>
        <w:rPr>
          <w:lang w:val="sr-RS"/>
        </w:rPr>
        <w:t xml:space="preserve"> југозападно </w:t>
      </w:r>
      <w:r>
        <w:rPr/>
        <w:t xml:space="preserve"> </w:t>
      </w:r>
      <w:r>
        <w:rPr>
          <w:lang w:val="sr-RS"/>
        </w:rPr>
        <w:t xml:space="preserve">од насеља </w:t>
      </w:r>
      <w:r>
        <w:rPr/>
        <w:t xml:space="preserve">  </w:t>
      </w:r>
      <w:r>
        <w:rPr>
          <w:szCs w:val="24"/>
          <w:lang w:val="sr-RS"/>
        </w:rPr>
        <w:t>Витошевац</w:t>
      </w:r>
      <w:r>
        <w:rPr/>
        <w:t xml:space="preserve"> са леве стране </w:t>
      </w:r>
      <w:r>
        <w:rPr>
          <w:szCs w:val="24"/>
          <w:lang w:val="sr-CS"/>
        </w:rPr>
        <w:t xml:space="preserve">од Државног пута </w:t>
      </w:r>
      <w:r>
        <w:rPr>
          <w:rFonts w:eastAsia="" w:cs="Times New Roman" w:eastAsiaTheme="minorEastAsia"/>
          <w:color w:val="auto"/>
          <w:kern w:val="0"/>
          <w:sz w:val="24"/>
          <w:szCs w:val="24"/>
          <w:lang w:val="sr-Latn-RS" w:eastAsia="en-US" w:bidi="ar-SA"/>
        </w:rPr>
        <w:t>II</w:t>
      </w:r>
      <w:r>
        <w:rPr>
          <w:szCs w:val="24"/>
          <w:lang w:val="sr-CS"/>
        </w:rPr>
        <w:t>Б реда број 420 из правца Витошевц</w:t>
      </w:r>
      <w:r>
        <w:rPr>
          <w:szCs w:val="24"/>
          <w:lang w:val="sr-Latn-RS"/>
        </w:rPr>
        <w:t>a</w:t>
      </w:r>
      <w:r>
        <w:rPr>
          <w:lang w:val="sr-CS"/>
        </w:rPr>
        <w:t xml:space="preserve"> ка </w:t>
      </w:r>
      <w:r>
        <w:rPr>
          <w:szCs w:val="24"/>
          <w:lang w:val="sr-CS"/>
        </w:rPr>
        <w:t>Ново</w:t>
      </w:r>
      <w:r>
        <w:rPr>
          <w:lang w:val="sr-CS"/>
        </w:rPr>
        <w:t>м</w:t>
      </w:r>
      <w:r>
        <w:rPr>
          <w:szCs w:val="24"/>
          <w:lang w:val="sr-CS"/>
        </w:rPr>
        <w:t xml:space="preserve"> Брачин</w:t>
      </w:r>
      <w:r>
        <w:rPr>
          <w:lang w:val="sr-CS"/>
        </w:rPr>
        <w:t>у</w:t>
      </w:r>
      <w:r>
        <w:rPr/>
        <w:t xml:space="preserve">. </w:t>
      </w:r>
      <w:r>
        <w:rPr>
          <w:lang w:val="sr-RS"/>
        </w:rPr>
        <w:t xml:space="preserve">Локација досеже до саме реке </w:t>
      </w:r>
      <w:r>
        <w:rPr>
          <w:szCs w:val="24"/>
          <w:lang w:val="sr-RS"/>
        </w:rPr>
        <w:t>Велика Река,</w:t>
      </w:r>
      <w:r>
        <w:rPr>
          <w:lang w:val="sr-RS"/>
        </w:rPr>
        <w:t xml:space="preserve"> која се планира као </w:t>
      </w:r>
      <w:r>
        <w:rPr>
          <w:szCs w:val="24"/>
          <w:lang w:val="sr-RS"/>
        </w:rPr>
        <w:t>будући реципијент за систем ППОВ</w:t>
      </w:r>
      <w:r>
        <w:rPr>
          <w:lang w:val="sr-RS"/>
        </w:rPr>
        <w:t>.</w:t>
      </w:r>
      <w:r>
        <w:rPr/>
        <w:t xml:space="preserve"> </w:t>
      </w:r>
    </w:p>
    <w:p>
      <w:pPr>
        <w:pStyle w:val="Normal"/>
        <w:spacing w:before="0" w:after="0"/>
        <w:ind w:firstLine="567"/>
        <w:contextualSpacing/>
        <w:rPr>
          <w:rFonts w:ascii="Times New Roman" w:hAnsi="Times New Roman"/>
        </w:rPr>
      </w:pPr>
      <w:r>
        <w:rPr/>
        <w:t>План обухвата катастарске парцеле:</w:t>
      </w:r>
      <w:r>
        <w:rPr>
          <w:szCs w:val="24"/>
          <w:lang w:val="sr-CS"/>
        </w:rPr>
        <w:t xml:space="preserve"> </w:t>
      </w:r>
      <w:r>
        <w:rPr>
          <w:szCs w:val="24"/>
          <w:lang w:val="sr-RS"/>
        </w:rPr>
        <w:t xml:space="preserve">целе кат.парцеле: број 5230/1, 5230/2, 5233, 5231, 5232, све </w:t>
      </w:r>
      <w:bookmarkStart w:id="8" w:name="_Hlk146540177"/>
      <w:r>
        <w:rPr>
          <w:szCs w:val="24"/>
          <w:lang w:val="sr-RS"/>
        </w:rPr>
        <w:t xml:space="preserve">К.О.Витошевац </w:t>
      </w:r>
      <w:bookmarkEnd w:id="8"/>
      <w:r>
        <w:rPr>
          <w:szCs w:val="24"/>
          <w:lang w:val="sr-RS"/>
        </w:rPr>
        <w:t xml:space="preserve">и делове  кат.парцела: број 5108, 5234 и 9670 (река) све К.О.Витошевац. Локацији се приступа преко </w:t>
      </w:r>
      <w:r>
        <w:rPr>
          <w:rFonts w:eastAsia="" w:cs="Times New Roman" w:eastAsiaTheme="minorEastAsia"/>
          <w:color w:val="auto"/>
          <w:kern w:val="0"/>
          <w:sz w:val="24"/>
          <w:szCs w:val="24"/>
          <w:lang w:val="sr-RS" w:eastAsia="en-US" w:bidi="ar-SA"/>
        </w:rPr>
        <w:t>планиране саобраћајнице</w:t>
      </w:r>
      <w:r>
        <w:rPr>
          <w:szCs w:val="24"/>
          <w:lang w:val="sr-RS"/>
        </w:rPr>
        <w:t>.</w:t>
      </w:r>
    </w:p>
    <w:p>
      <w:pPr>
        <w:pStyle w:val="ListParagraph"/>
        <w:widowControl w:val="false"/>
        <w:ind w:left="0" w:firstLine="426"/>
        <w:rPr>
          <w:rFonts w:ascii="Times New Roman" w:hAnsi="Times New Roman"/>
        </w:rPr>
      </w:pPr>
      <w:r>
        <w:rPr>
          <w:b/>
          <w:bCs/>
          <w:lang w:val="sr-RS"/>
        </w:rPr>
        <w:t>Граница плана:</w:t>
      </w:r>
      <w:r>
        <w:rPr>
          <w:lang w:val="sr-RS"/>
        </w:rPr>
        <w:t xml:space="preserve"> на северу граница полази од  </w:t>
      </w:r>
      <w:r>
        <w:rPr>
          <w:lang w:val="sr-CS"/>
        </w:rPr>
        <w:t>Државн</w:t>
      </w:r>
      <w:r>
        <w:rPr>
          <w:lang w:val="sr-RS"/>
        </w:rPr>
        <w:t>ог</w:t>
      </w:r>
      <w:r>
        <w:rPr>
          <w:lang w:val="sr-CS"/>
        </w:rPr>
        <w:t xml:space="preserve"> пут</w:t>
      </w:r>
      <w:r>
        <w:rPr>
          <w:lang w:val="sr-RS"/>
        </w:rPr>
        <w:t>а</w:t>
      </w:r>
      <w:r>
        <w:rPr>
          <w:lang w:val="sr-CS"/>
        </w:rPr>
        <w:t xml:space="preserve"> </w:t>
      </w:r>
      <w:r>
        <w:rPr>
          <w:lang w:val="sr-Latn-RS"/>
        </w:rPr>
        <w:t>II</w:t>
      </w:r>
      <w:r>
        <w:rPr>
          <w:lang w:val="sr-CS"/>
        </w:rPr>
        <w:t xml:space="preserve">Б реда број 420. Граница Плана иде од </w:t>
      </w:r>
      <w:r>
        <w:rPr>
          <w:lang w:val="sr-RS"/>
        </w:rPr>
        <w:t>северне међне линије кат.парцеле број 5108 па према</w:t>
      </w:r>
      <w:r>
        <w:rPr>
          <w:lang w:val="sr-CS"/>
        </w:rPr>
        <w:t xml:space="preserve"> југу целом дужином источне међе </w:t>
      </w:r>
      <w:r>
        <w:rPr>
          <w:lang w:val="sr-RS"/>
        </w:rPr>
        <w:t xml:space="preserve">и наставља источном међом </w:t>
      </w:r>
      <w:r>
        <w:rPr>
          <w:lang w:val="sr-CS"/>
        </w:rPr>
        <w:t>К.П.бр.5230/1 до К.П.</w:t>
      </w:r>
      <w:r>
        <w:rPr>
          <w:lang w:val="sr-RS"/>
        </w:rPr>
        <w:t xml:space="preserve"> </w:t>
      </w:r>
      <w:bookmarkStart w:id="9" w:name="_Hlk152065209"/>
      <w:r>
        <w:rPr>
          <w:lang w:val="sr-RS"/>
        </w:rPr>
        <w:t>број</w:t>
      </w:r>
      <w:bookmarkEnd w:id="9"/>
      <w:r>
        <w:rPr>
          <w:lang w:val="sr-CS"/>
        </w:rPr>
        <w:t xml:space="preserve"> 5234 коју пресеца и ка југу се спаја  са преломном тачком К.П.</w:t>
      </w:r>
      <w:r>
        <w:rPr>
          <w:lang w:val="sr-RS"/>
        </w:rPr>
        <w:t xml:space="preserve"> број</w:t>
      </w:r>
      <w:r>
        <w:rPr>
          <w:lang w:val="sr-CS"/>
        </w:rPr>
        <w:t xml:space="preserve"> 9670 (река). Са југа и југо-запада део </w:t>
      </w:r>
      <w:r>
        <w:rPr>
          <w:lang w:val="sr-RS"/>
        </w:rPr>
        <w:t>корита Велике Реке је део планског подручја све до пресека са теменом тачком К.П. број 5230/2. Граница је даље са севера</w:t>
      </w:r>
      <w:r>
        <w:rPr>
          <w:lang w:val="en-US"/>
        </w:rPr>
        <w:t>,</w:t>
      </w:r>
      <w:r>
        <w:rPr>
          <w:lang w:val="sr-RS"/>
        </w:rPr>
        <w:t xml:space="preserve"> идући ка истоку</w:t>
      </w:r>
      <w:r>
        <w:rPr>
          <w:lang w:val="en-US"/>
        </w:rPr>
        <w:t>,</w:t>
      </w:r>
      <w:r>
        <w:rPr>
          <w:lang w:val="sr-RS"/>
        </w:rPr>
        <w:t xml:space="preserve"> по северној међи  кат.парцеле број 5108 све до укрштаја са К.П. 9668/1 (</w:t>
      </w:r>
      <w:r>
        <w:rPr>
          <w:lang w:val="sr-CS"/>
        </w:rPr>
        <w:t>Државни пут</w:t>
      </w:r>
      <w:r>
        <w:rPr>
          <w:lang w:val="sr-Latn-RS"/>
        </w:rPr>
        <w:t xml:space="preserve"> II</w:t>
      </w:r>
      <w:r>
        <w:rPr>
          <w:lang w:val="sr-CS"/>
        </w:rPr>
        <w:t xml:space="preserve">Б реда број 420), </w:t>
      </w:r>
      <w:r>
        <w:rPr>
          <w:lang w:val="sr-RS"/>
        </w:rPr>
        <w:t xml:space="preserve">где се повезује са почетном тачком. </w:t>
      </w:r>
    </w:p>
    <w:p>
      <w:pPr>
        <w:pStyle w:val="ListParagraph"/>
        <w:widowControl w:val="false"/>
        <w:ind w:left="0" w:firstLine="426"/>
        <w:rPr>
          <w:rFonts w:ascii="Times New Roman" w:hAnsi="Times New Roman"/>
          <w:b/>
          <w:b/>
          <w:bCs/>
          <w:u w:val="single"/>
        </w:rPr>
      </w:pPr>
      <w:r>
        <w:rPr>
          <w:b/>
          <w:bCs/>
          <w:u w:val="single"/>
        </w:rPr>
      </w:r>
    </w:p>
    <w:p>
      <w:pPr>
        <w:pStyle w:val="ListParagraph"/>
        <w:widowControl w:val="false"/>
        <w:ind w:left="0" w:firstLine="426"/>
        <w:rPr>
          <w:rFonts w:ascii="Times New Roman" w:hAnsi="Times New Roman"/>
        </w:rPr>
      </w:pPr>
      <w:r>
        <w:rPr>
          <w:b/>
          <w:bCs/>
        </w:rPr>
        <w:t>Површина обухвата Плана је</w:t>
      </w:r>
      <w:r>
        <w:rPr>
          <w:b/>
          <w:bCs/>
          <w:spacing w:val="2"/>
        </w:rPr>
        <w:t xml:space="preserve">   </w:t>
      </w:r>
      <w:r>
        <w:rPr>
          <w:rFonts w:eastAsia="SimSun"/>
          <w:b/>
          <w:lang w:val="sr-Latn-RS"/>
        </w:rPr>
        <w:t>13</w:t>
      </w:r>
      <w:r>
        <w:rPr>
          <w:rFonts w:eastAsia="SimSun"/>
          <w:b/>
          <w:lang w:val="sr-RS"/>
        </w:rPr>
        <w:t xml:space="preserve"> 528</w:t>
      </w:r>
      <w:r>
        <w:rPr>
          <w:b/>
          <w:lang w:val="sr-Latn-RS"/>
        </w:rPr>
        <w:t xml:space="preserve"> m</w:t>
      </w:r>
      <w:r>
        <w:rPr>
          <w:b/>
          <w:spacing w:val="2"/>
          <w:vertAlign w:val="superscript"/>
          <w:lang w:val="sr-Latn-RS"/>
        </w:rPr>
        <w:t>2</w:t>
      </w:r>
      <w:r>
        <w:rPr>
          <w:b/>
          <w:bCs/>
          <w:spacing w:val="2"/>
        </w:rPr>
        <w:t>.</w:t>
      </w:r>
    </w:p>
    <w:p>
      <w:pPr>
        <w:pStyle w:val="Normal"/>
        <w:ind w:firstLine="426"/>
        <w:rPr>
          <w:rFonts w:ascii="Times New Roman" w:hAnsi="Times New Roman"/>
        </w:rPr>
      </w:pPr>
      <w:r>
        <w:rPr>
          <w:szCs w:val="24"/>
        </w:rPr>
        <w:t>У случају неслагања између бројева парцела у обухвату Плана у списку и графичког прилога, меродавна је граница утврђена на графичком прилогу бр.1 „Граница Плана на катастарско-топографској подлози“.</w:t>
      </w:r>
    </w:p>
    <w:p>
      <w:pPr>
        <w:pStyle w:val="Normal"/>
        <w:suppressAutoHyphens w:val="false"/>
        <w:ind w:firstLine="450"/>
        <w:rPr>
          <w:rFonts w:ascii="Times New Roman" w:hAnsi="Times New Roman"/>
        </w:rPr>
      </w:pPr>
      <w:r>
        <w:rPr>
          <w:rFonts w:eastAsia="Times"/>
          <w:szCs w:val="24"/>
        </w:rPr>
        <w:t xml:space="preserve">Све наведене катастарске парцеле се налазе у оквиру планског подручја </w:t>
      </w:r>
      <w:r>
        <w:rPr>
          <w:szCs w:val="24"/>
          <w:lang w:val="sr-RS"/>
        </w:rPr>
        <w:t>Просторни план општине Ражањ</w:t>
      </w:r>
      <w:r>
        <w:rPr>
          <w:szCs w:val="24"/>
          <w:lang w:val="en-GB"/>
        </w:rPr>
        <w:t xml:space="preserve"> (,,Службени лист </w:t>
      </w:r>
      <w:r>
        <w:rPr>
          <w:szCs w:val="24"/>
          <w:lang w:val="sr-RS"/>
        </w:rPr>
        <w:t>општине Ражањ</w:t>
      </w:r>
      <w:r>
        <w:rPr>
          <w:szCs w:val="24"/>
          <w:lang w:val="en-GB"/>
        </w:rPr>
        <w:t xml:space="preserve">“ број </w:t>
      </w:r>
      <w:r>
        <w:rPr>
          <w:szCs w:val="24"/>
          <w:lang w:val="sr-RS"/>
        </w:rPr>
        <w:t>4</w:t>
      </w:r>
      <w:r>
        <w:rPr>
          <w:szCs w:val="24"/>
          <w:lang w:val="en-GB"/>
        </w:rPr>
        <w:t>/</w:t>
      </w:r>
      <w:r>
        <w:rPr>
          <w:szCs w:val="24"/>
          <w:lang w:val="sr-RS"/>
        </w:rPr>
        <w:t>20</w:t>
      </w:r>
      <w:r>
        <w:rPr>
          <w:szCs w:val="24"/>
          <w:lang w:val="en-GB"/>
        </w:rPr>
        <w:t>1</w:t>
      </w:r>
      <w:r>
        <w:rPr>
          <w:szCs w:val="24"/>
          <w:lang w:val="sr-RS"/>
        </w:rPr>
        <w:t>2 и 1/2021 и 12/23</w:t>
      </w:r>
      <w:r>
        <w:rPr>
          <w:szCs w:val="24"/>
          <w:lang w:val="en-GB"/>
        </w:rPr>
        <w:t>)</w:t>
      </w:r>
      <w:r>
        <w:rPr>
          <w:szCs w:val="24"/>
          <w:lang w:val="sr-RS"/>
        </w:rPr>
        <w:t xml:space="preserve"> </w:t>
      </w:r>
      <w:r>
        <w:rPr>
          <w:szCs w:val="24"/>
        </w:rPr>
        <w:t xml:space="preserve">са наменом – пољопривредно земљиште. </w:t>
      </w:r>
      <w:bookmarkStart w:id="10" w:name="_Hlk132021770"/>
      <w:bookmarkEnd w:id="10"/>
    </w:p>
    <w:p>
      <w:pPr>
        <w:pStyle w:val="Normal"/>
        <w:ind w:firstLine="426"/>
        <w:rPr>
          <w:rFonts w:ascii="Times New Roman" w:hAnsi="Times New Roman"/>
          <w:szCs w:val="24"/>
        </w:rPr>
      </w:pPr>
      <w:r>
        <w:rPr>
          <w:szCs w:val="24"/>
        </w:rPr>
      </w:r>
    </w:p>
    <w:p>
      <w:pPr>
        <w:pStyle w:val="Normal"/>
        <w:ind w:firstLine="426"/>
        <w:rPr>
          <w:rFonts w:ascii="Times New Roman" w:hAnsi="Times New Roman"/>
          <w:szCs w:val="24"/>
        </w:rPr>
      </w:pPr>
      <w:r>
        <w:rPr>
          <w:szCs w:val="24"/>
        </w:rPr>
      </w:r>
    </w:p>
    <w:p>
      <w:pPr>
        <w:pStyle w:val="Normal"/>
        <w:ind w:firstLine="426"/>
        <w:rPr>
          <w:rFonts w:ascii="Times New Roman" w:hAnsi="Times New Roman"/>
          <w:szCs w:val="24"/>
        </w:rPr>
      </w:pPr>
      <w:r>
        <w:rPr>
          <w:szCs w:val="24"/>
        </w:rPr>
      </w:r>
    </w:p>
    <w:p>
      <w:pPr>
        <w:pStyle w:val="ListParagraph"/>
        <w:numPr>
          <w:ilvl w:val="0"/>
          <w:numId w:val="2"/>
        </w:numPr>
        <w:tabs>
          <w:tab w:val="clear" w:pos="720"/>
          <w:tab w:val="left" w:pos="426" w:leader="none"/>
        </w:tabs>
        <w:ind w:left="0" w:hanging="0"/>
        <w:rPr>
          <w:rFonts w:ascii="Times New Roman" w:hAnsi="Times New Roman"/>
        </w:rPr>
      </w:pPr>
      <w:r>
        <w:rPr>
          <w:b/>
        </w:rPr>
        <w:t>Постојећа намена простора</w:t>
      </w:r>
    </w:p>
    <w:p>
      <w:pPr>
        <w:pStyle w:val="ListParagraph"/>
        <w:tabs>
          <w:tab w:val="clear" w:pos="720"/>
          <w:tab w:val="left" w:pos="426" w:leader="none"/>
        </w:tabs>
        <w:ind w:left="4950" w:hanging="0"/>
        <w:rPr>
          <w:rFonts w:ascii="Times New Roman" w:hAnsi="Times New Roman"/>
          <w:b/>
          <w:b/>
        </w:rPr>
      </w:pPr>
      <w:r>
        <w:rPr>
          <w:b/>
        </w:rPr>
      </w:r>
    </w:p>
    <w:p>
      <w:pPr>
        <w:pStyle w:val="Normal"/>
        <w:tabs>
          <w:tab w:val="clear" w:pos="720"/>
          <w:tab w:val="left" w:pos="567" w:leader="none"/>
        </w:tabs>
        <w:rPr>
          <w:rFonts w:ascii="Times New Roman" w:hAnsi="Times New Roman"/>
        </w:rPr>
      </w:pPr>
      <w:r>
        <w:rPr>
          <w:szCs w:val="24"/>
        </w:rPr>
        <w:tab/>
        <w:t xml:space="preserve">Простор је неизграђен – слободна пољопривредна површина са постојећим приступним </w:t>
      </w:r>
      <w:r>
        <w:rPr>
          <w:szCs w:val="24"/>
          <w:lang w:val="sr-RS"/>
        </w:rPr>
        <w:t xml:space="preserve">атарским </w:t>
      </w:r>
      <w:r>
        <w:rPr>
          <w:szCs w:val="24"/>
        </w:rPr>
        <w:t xml:space="preserve">путем са северне стране и </w:t>
      </w:r>
      <w:bookmarkStart w:id="11" w:name="_Hlk128567597"/>
      <w:r>
        <w:rPr>
          <w:szCs w:val="24"/>
          <w:lang w:val="sr-RS"/>
        </w:rPr>
        <w:t xml:space="preserve">Великом </w:t>
      </w:r>
      <w:r>
        <w:rPr>
          <w:szCs w:val="24"/>
        </w:rPr>
        <w:t xml:space="preserve">реком </w:t>
      </w:r>
      <w:bookmarkEnd w:id="11"/>
      <w:r>
        <w:rPr>
          <w:szCs w:val="24"/>
          <w:lang w:val="sr-RS"/>
        </w:rPr>
        <w:t xml:space="preserve">са југа </w:t>
      </w:r>
      <w:r>
        <w:rPr>
          <w:szCs w:val="24"/>
        </w:rPr>
        <w:t xml:space="preserve">која </w:t>
      </w:r>
      <w:r>
        <w:rPr>
          <w:szCs w:val="24"/>
          <w:lang w:val="sr-RS"/>
        </w:rPr>
        <w:t>ће бити</w:t>
      </w:r>
      <w:r>
        <w:rPr>
          <w:szCs w:val="24"/>
        </w:rPr>
        <w:t xml:space="preserve"> реципијент за будуће </w:t>
      </w:r>
      <w:r>
        <w:rPr>
          <w:szCs w:val="24"/>
          <w:lang w:val="sr-RS"/>
        </w:rPr>
        <w:t>постројење</w:t>
      </w:r>
      <w:r>
        <w:rPr>
          <w:szCs w:val="24"/>
        </w:rPr>
        <w:t>.</w:t>
      </w:r>
    </w:p>
    <w:p>
      <w:pPr>
        <w:pStyle w:val="Normal"/>
        <w:tabs>
          <w:tab w:val="clear" w:pos="720"/>
          <w:tab w:val="left" w:pos="567" w:leader="none"/>
        </w:tabs>
        <w:rPr>
          <w:rFonts w:ascii="Times New Roman" w:hAnsi="Times New Roman"/>
        </w:rPr>
      </w:pPr>
      <w:r>
        <w:rPr>
          <w:szCs w:val="24"/>
        </w:rPr>
        <w:t xml:space="preserve">Планирано ППОВ се планира да опслужује насеља </w:t>
      </w:r>
      <w:r>
        <w:rPr>
          <w:szCs w:val="24"/>
          <w:lang w:val="sr-RS"/>
        </w:rPr>
        <w:t>око</w:t>
      </w:r>
      <w:r>
        <w:rPr>
          <w:szCs w:val="24"/>
          <w:lang w:val="sr-CS"/>
        </w:rPr>
        <w:t xml:space="preserve"> </w:t>
      </w:r>
      <w:r>
        <w:rPr>
          <w:szCs w:val="24"/>
          <w:lang w:val="sr-RS"/>
        </w:rPr>
        <w:t xml:space="preserve">и сам </w:t>
      </w:r>
      <w:r>
        <w:rPr>
          <w:szCs w:val="24"/>
          <w:lang w:val="sr-CS"/>
        </w:rPr>
        <w:t>Витошевц</w:t>
      </w:r>
      <w:r>
        <w:rPr>
          <w:lang w:val="sr-CS"/>
        </w:rPr>
        <w:t xml:space="preserve"> </w:t>
      </w:r>
      <w:r>
        <w:rPr>
          <w:szCs w:val="24"/>
        </w:rPr>
        <w:t xml:space="preserve">и да има капацитет око </w:t>
      </w:r>
      <w:r>
        <w:rPr>
          <w:szCs w:val="24"/>
          <w:lang w:val="sr-RS"/>
        </w:rPr>
        <w:t>13</w:t>
      </w:r>
      <w:r>
        <w:rPr>
          <w:szCs w:val="24"/>
        </w:rPr>
        <w:t xml:space="preserve">00 ЕС. </w:t>
      </w:r>
    </w:p>
    <w:p>
      <w:pPr>
        <w:pStyle w:val="Normal"/>
        <w:tabs>
          <w:tab w:val="clear" w:pos="720"/>
          <w:tab w:val="left" w:pos="567" w:leader="none"/>
        </w:tabs>
        <w:suppressAutoHyphens w:val="false"/>
        <w:ind w:firstLine="567"/>
        <w:rPr>
          <w:rFonts w:ascii="Times New Roman" w:hAnsi="Times New Roman"/>
        </w:rPr>
      </w:pPr>
      <w:r>
        <w:rPr>
          <w:szCs w:val="24"/>
        </w:rPr>
        <w:t xml:space="preserve">Саобраћајна повезаност локације остварује се </w:t>
      </w:r>
      <w:r>
        <w:rPr>
          <w:szCs w:val="24"/>
          <w:lang w:val="sr-RS"/>
        </w:rPr>
        <w:t xml:space="preserve">са </w:t>
      </w:r>
      <w:r>
        <w:rPr>
          <w:szCs w:val="24"/>
        </w:rPr>
        <w:t>северне стране</w:t>
      </w:r>
      <w:r>
        <w:rPr>
          <w:szCs w:val="24"/>
          <w:lang w:val="sr-RS"/>
        </w:rPr>
        <w:t xml:space="preserve"> са </w:t>
      </w:r>
      <w:r>
        <w:rPr>
          <w:szCs w:val="24"/>
        </w:rPr>
        <w:t>постојећ</w:t>
      </w:r>
      <w:r>
        <w:rPr>
          <w:szCs w:val="24"/>
          <w:lang w:val="sr-RS"/>
        </w:rPr>
        <w:t>ег</w:t>
      </w:r>
      <w:r>
        <w:rPr>
          <w:szCs w:val="24"/>
        </w:rPr>
        <w:t xml:space="preserve"> </w:t>
      </w:r>
      <w:r>
        <w:rPr>
          <w:szCs w:val="24"/>
          <w:lang w:val="sr-Latn-RS"/>
        </w:rPr>
        <w:t>Државног пута IIБ реда број 420</w:t>
      </w:r>
      <w:r>
        <w:rPr>
          <w:szCs w:val="24"/>
          <w:lang w:val="sr-RS"/>
        </w:rPr>
        <w:t xml:space="preserve"> / правац Појате- Витошевац. </w:t>
      </w:r>
    </w:p>
    <w:p>
      <w:pPr>
        <w:pStyle w:val="Normal"/>
        <w:tabs>
          <w:tab w:val="clear" w:pos="720"/>
          <w:tab w:val="left" w:pos="567" w:leader="none"/>
        </w:tabs>
        <w:rPr>
          <w:rFonts w:ascii="Times New Roman" w:hAnsi="Times New Roman"/>
        </w:rPr>
      </w:pPr>
      <w:r>
        <w:rPr>
          <w:szCs w:val="24"/>
        </w:rPr>
        <w:t xml:space="preserve">У ширем простору </w:t>
      </w:r>
      <w:r>
        <w:rPr>
          <w:szCs w:val="24"/>
          <w:lang w:val="sr-RS"/>
        </w:rPr>
        <w:t xml:space="preserve">и самом </w:t>
      </w:r>
      <w:r>
        <w:rPr>
          <w:szCs w:val="24"/>
        </w:rPr>
        <w:t xml:space="preserve"> насељ</w:t>
      </w:r>
      <w:r>
        <w:rPr>
          <w:szCs w:val="24"/>
          <w:lang w:val="sr-RS"/>
        </w:rPr>
        <w:t>у</w:t>
      </w:r>
      <w:r>
        <w:rPr>
          <w:szCs w:val="24"/>
        </w:rPr>
        <w:t xml:space="preserve"> </w:t>
      </w:r>
      <w:r>
        <w:rPr>
          <w:szCs w:val="24"/>
          <w:lang w:val="sr-CS"/>
        </w:rPr>
        <w:t>Витошевц</w:t>
      </w:r>
      <w:r>
        <w:rPr>
          <w:lang w:val="sr-CS"/>
        </w:rPr>
        <w:t xml:space="preserve"> </w:t>
      </w:r>
      <w:r>
        <w:rPr>
          <w:szCs w:val="24"/>
        </w:rPr>
        <w:t xml:space="preserve">не постоји изграђена </w:t>
      </w:r>
      <w:r>
        <w:rPr>
          <w:szCs w:val="24"/>
          <w:lang w:val="sr-RS"/>
        </w:rPr>
        <w:t>јавна канализациона и водоводна мрежа.</w:t>
      </w:r>
      <w:r>
        <w:rPr>
          <w:szCs w:val="24"/>
        </w:rPr>
        <w:t xml:space="preserve"> </w:t>
      </w:r>
    </w:p>
    <w:p>
      <w:pPr>
        <w:pStyle w:val="ListParagraph"/>
        <w:ind w:left="0" w:hanging="0"/>
        <w:rPr>
          <w:rFonts w:ascii="Times New Roman" w:hAnsi="Times New Roman"/>
          <w:color w:val="FF0000"/>
        </w:rPr>
      </w:pPr>
      <w:r>
        <w:rPr>
          <w:color w:val="FF0000"/>
        </w:rPr>
      </w:r>
    </w:p>
    <w:p>
      <w:pPr>
        <w:pStyle w:val="ListParagraph"/>
        <w:ind w:left="0" w:hanging="0"/>
        <w:rPr>
          <w:rFonts w:ascii="Times New Roman" w:hAnsi="Times New Roman"/>
          <w:color w:val="FF0000"/>
        </w:rPr>
      </w:pPr>
      <w:r>
        <w:rPr>
          <w:color w:val="FF0000"/>
        </w:rPr>
      </w:r>
    </w:p>
    <w:p>
      <w:pPr>
        <w:pStyle w:val="ListParagraph"/>
        <w:numPr>
          <w:ilvl w:val="0"/>
          <w:numId w:val="2"/>
        </w:numPr>
        <w:tabs>
          <w:tab w:val="clear" w:pos="720"/>
          <w:tab w:val="left" w:pos="426" w:leader="none"/>
        </w:tabs>
        <w:ind w:left="0" w:hanging="0"/>
        <w:rPr>
          <w:rFonts w:ascii="Times New Roman" w:hAnsi="Times New Roman"/>
        </w:rPr>
      </w:pPr>
      <w:r>
        <w:rPr>
          <w:b/>
        </w:rPr>
        <w:t>Извод из планског документа вишег реда</w:t>
      </w:r>
    </w:p>
    <w:p>
      <w:pPr>
        <w:pStyle w:val="ListParagraph"/>
        <w:tabs>
          <w:tab w:val="clear" w:pos="720"/>
          <w:tab w:val="left" w:pos="426" w:leader="none"/>
        </w:tabs>
        <w:ind w:left="0" w:hanging="0"/>
        <w:rPr>
          <w:rFonts w:ascii="Times New Roman" w:hAnsi="Times New Roman" w:cs="Arial"/>
          <w:b/>
          <w:b/>
          <w:caps/>
        </w:rPr>
      </w:pPr>
      <w:r>
        <w:rPr>
          <w:rFonts w:cs="Arial"/>
          <w:b/>
          <w:caps/>
        </w:rPr>
      </w:r>
    </w:p>
    <w:p>
      <w:pPr>
        <w:pStyle w:val="ListParagraph"/>
        <w:ind w:left="390" w:hanging="0"/>
        <w:rPr>
          <w:rFonts w:ascii="Times New Roman" w:hAnsi="Times New Roman"/>
        </w:rPr>
      </w:pPr>
      <w:r>
        <w:rPr>
          <w:lang w:val="sr-RS"/>
        </w:rPr>
        <w:t>Просторни план општине Ражањ</w:t>
      </w:r>
      <w:r>
        <w:rPr/>
        <w:t xml:space="preserve"> (,,Службени лист </w:t>
      </w:r>
      <w:r>
        <w:rPr>
          <w:lang w:val="sr-RS"/>
        </w:rPr>
        <w:t>општине Ражањ</w:t>
      </w:r>
      <w:r>
        <w:rPr/>
        <w:t xml:space="preserve">“ број </w:t>
      </w:r>
      <w:r>
        <w:rPr>
          <w:lang w:val="sr-RS"/>
        </w:rPr>
        <w:t>4</w:t>
      </w:r>
      <w:r>
        <w:rPr/>
        <w:t>/</w:t>
      </w:r>
      <w:r>
        <w:rPr>
          <w:lang w:val="sr-RS"/>
        </w:rPr>
        <w:t>20</w:t>
      </w:r>
      <w:r>
        <w:rPr/>
        <w:t>1</w:t>
      </w:r>
      <w:r>
        <w:rPr>
          <w:lang w:val="sr-RS"/>
        </w:rPr>
        <w:t>2 и 1/2021 и 12/23</w:t>
      </w:r>
      <w:r>
        <w:rPr/>
        <w:t>)</w:t>
      </w:r>
      <w:r>
        <w:rPr>
          <w:lang w:val="sr-RS"/>
        </w:rPr>
        <w:t>.</w:t>
      </w:r>
    </w:p>
    <w:p>
      <w:pPr>
        <w:pStyle w:val="ListParagraph"/>
        <w:ind w:left="390" w:hanging="0"/>
        <w:rPr>
          <w:rFonts w:ascii="Times New Roman" w:hAnsi="Times New Roman"/>
          <w:lang w:val="sr-RS"/>
        </w:rPr>
      </w:pPr>
      <w:r>
        <w:rPr>
          <w:lang w:val="sr-RS"/>
        </w:rPr>
      </w:r>
    </w:p>
    <w:p>
      <w:pPr>
        <w:pStyle w:val="Normal"/>
        <w:tabs>
          <w:tab w:val="clear" w:pos="720"/>
          <w:tab w:val="left" w:pos="1276" w:leader="none"/>
          <w:tab w:val="left" w:pos="8640" w:leader="dot"/>
        </w:tabs>
        <w:suppressAutoHyphens w:val="false"/>
        <w:ind w:left="900" w:hanging="0"/>
        <w:jc w:val="left"/>
        <w:rPr>
          <w:rFonts w:ascii="Times New Roman" w:hAnsi="Times New Roman"/>
        </w:rPr>
      </w:pPr>
      <w:r>
        <w:rPr>
          <w:b/>
          <w:i/>
          <w:iCs/>
          <w:caps/>
          <w:sz w:val="22"/>
          <w:lang w:val="sr-CS"/>
        </w:rPr>
        <w:t>123. Водопривредна инфраструктура</w:t>
      </w:r>
      <w:bookmarkStart w:id="12" w:name="_Hlk146109443"/>
      <w:bookmarkEnd w:id="12"/>
    </w:p>
    <w:p>
      <w:pPr>
        <w:pStyle w:val="Normal"/>
        <w:suppressAutoHyphens w:val="false"/>
        <w:rPr>
          <w:rFonts w:ascii="Times New Roman" w:hAnsi="Times New Roman"/>
        </w:rPr>
      </w:pPr>
      <w:r>
        <w:rPr>
          <w:i/>
          <w:iCs/>
          <w:sz w:val="22"/>
          <w:lang w:val="sr-CS"/>
        </w:rPr>
        <w:t>Водна инфраструктура је специфичан корисник простора, који има врло конкретне и строге захтеве у погледу простора који је неопходан за виталне функције у области вода. Због тога се дефинишу базна правила грађења са становишта хидротехничких система.</w:t>
      </w:r>
    </w:p>
    <w:p>
      <w:pPr>
        <w:pStyle w:val="Normal"/>
        <w:widowControl w:val="false"/>
        <w:shd w:val="clear" w:color="auto" w:fill="FFFFFF"/>
        <w:tabs>
          <w:tab w:val="clear" w:pos="720"/>
          <w:tab w:val="left" w:pos="567" w:leader="none"/>
        </w:tabs>
        <w:suppressAutoHyphens w:val="false"/>
        <w:rPr>
          <w:rFonts w:ascii="Times New Roman" w:hAnsi="Times New Roman"/>
          <w:b/>
          <w:b/>
          <w:bCs/>
          <w:i/>
          <w:i/>
          <w:iCs/>
          <w:sz w:val="22"/>
          <w:lang w:val="sr-RS"/>
        </w:rPr>
      </w:pPr>
      <w:r>
        <w:rPr>
          <w:b/>
          <w:bCs/>
          <w:i/>
          <w:iCs/>
          <w:sz w:val="22"/>
          <w:lang w:val="sr-RS"/>
        </w:rPr>
      </w:r>
      <w:bookmarkStart w:id="13" w:name="_Toc59183967"/>
      <w:bookmarkStart w:id="14" w:name="_Toc59183967"/>
    </w:p>
    <w:p>
      <w:pPr>
        <w:pStyle w:val="Normal"/>
        <w:widowControl w:val="false"/>
        <w:shd w:val="clear" w:color="auto" w:fill="FFFFFF"/>
        <w:tabs>
          <w:tab w:val="clear" w:pos="720"/>
          <w:tab w:val="left" w:pos="567" w:leader="none"/>
        </w:tabs>
        <w:suppressAutoHyphens w:val="false"/>
        <w:rPr>
          <w:rFonts w:ascii="Times New Roman" w:hAnsi="Times New Roman"/>
        </w:rPr>
      </w:pPr>
      <w:r>
        <w:rPr>
          <w:b/>
          <w:bCs/>
          <w:i/>
          <w:iCs/>
          <w:sz w:val="22"/>
          <w:lang w:val="sr-RS"/>
        </w:rPr>
        <w:tab/>
        <w:t>Посебна п</w:t>
      </w:r>
      <w:r>
        <w:rPr>
          <w:b/>
          <w:bCs/>
          <w:i/>
          <w:iCs/>
          <w:sz w:val="22"/>
          <w:lang w:val="ru-RU"/>
        </w:rPr>
        <w:t>равила</w:t>
      </w:r>
      <w:r>
        <w:rPr>
          <w:b/>
          <w:bCs/>
          <w:i/>
          <w:iCs/>
          <w:sz w:val="22"/>
          <w:lang w:val="sr-RS"/>
        </w:rPr>
        <w:t xml:space="preserve"> уређења канализационе инфраструктуре </w:t>
      </w:r>
      <w:r>
        <w:rPr>
          <w:b/>
          <w:bCs/>
          <w:i/>
          <w:iCs/>
          <w:sz w:val="22"/>
          <w:lang w:val="ru-RU"/>
        </w:rPr>
        <w:t>у обухвату Измене и допуне Плана</w:t>
      </w:r>
      <w:bookmarkEnd w:id="14"/>
    </w:p>
    <w:p>
      <w:pPr>
        <w:pStyle w:val="Normal"/>
        <w:suppressAutoHyphens w:val="false"/>
        <w:rPr>
          <w:rFonts w:ascii="Times New Roman" w:hAnsi="Times New Roman"/>
        </w:rPr>
      </w:pPr>
      <w:r>
        <w:rPr>
          <w:i/>
          <w:iCs/>
          <w:sz w:val="22"/>
          <w:lang w:val="ru-RU"/>
        </w:rPr>
        <w:t>Технолошке отпадне воде претходно пречистити на нивоу предтретмана, пре упуштања у фекалну канализацију.</w:t>
      </w:r>
    </w:p>
    <w:p>
      <w:pPr>
        <w:pStyle w:val="Normal"/>
        <w:suppressAutoHyphens w:val="false"/>
        <w:rPr>
          <w:rFonts w:ascii="Times New Roman" w:hAnsi="Times New Roman"/>
        </w:rPr>
      </w:pPr>
      <w:r>
        <w:rPr>
          <w:i/>
          <w:iCs/>
          <w:sz w:val="22"/>
          <w:lang w:val="ru-RU"/>
        </w:rPr>
        <w:t>Планирано је да се атмосферске воде одводе кишном канализацијом и површински до најближих реципијената. Отпадне атмосферске воде са саобраћајних површина и паркинг простора пре испуштања у реципијент пропустити кроз таложник и сепаратор лаких нафтних деривата.</w:t>
      </w:r>
    </w:p>
    <w:p>
      <w:pPr>
        <w:pStyle w:val="Normal"/>
        <w:suppressAutoHyphens w:val="false"/>
        <w:rPr>
          <w:rFonts w:ascii="Times New Roman" w:hAnsi="Times New Roman"/>
        </w:rPr>
      </w:pPr>
      <w:r>
        <w:rPr>
          <w:i/>
          <w:iCs/>
          <w:sz w:val="22"/>
          <w:lang w:val="ru-RU"/>
        </w:rPr>
        <w:t>У коначној реализацији, постројење се планира на најнижој коти терена у граници захвата плана како би се отпадна вода из објеката доводила гравитационо до постројења. До реализације мини постројења за пречишћавање отпадних вода,отпадне воде  појединих објеката прикупљају се у водонепропусне септичке јаме, лоциране поред пута како би био омогућен приступ цистернама за њихово пражњење.</w:t>
      </w:r>
    </w:p>
    <w:p>
      <w:pPr>
        <w:pStyle w:val="Normal"/>
        <w:widowControl w:val="false"/>
        <w:shd w:val="clear" w:color="auto" w:fill="FFFFFF"/>
        <w:tabs>
          <w:tab w:val="clear" w:pos="720"/>
          <w:tab w:val="left" w:pos="567" w:leader="none"/>
        </w:tabs>
        <w:suppressAutoHyphens w:val="false"/>
        <w:rPr>
          <w:rFonts w:ascii="Times New Roman" w:hAnsi="Times New Roman"/>
          <w:b/>
          <w:b/>
          <w:bCs/>
          <w:i/>
          <w:i/>
          <w:iCs/>
          <w:sz w:val="22"/>
          <w:lang w:val="sr-RS"/>
        </w:rPr>
      </w:pPr>
      <w:r>
        <w:rPr>
          <w:b/>
          <w:bCs/>
          <w:i/>
          <w:iCs/>
          <w:sz w:val="22"/>
          <w:lang w:val="sr-RS"/>
        </w:rPr>
      </w:r>
    </w:p>
    <w:p>
      <w:pPr>
        <w:pStyle w:val="Normal"/>
        <w:suppressAutoHyphens w:val="false"/>
        <w:ind w:firstLine="720"/>
        <w:rPr>
          <w:rFonts w:ascii="Times New Roman" w:hAnsi="Times New Roman"/>
        </w:rPr>
      </w:pPr>
      <w:bookmarkStart w:id="15" w:name="_Toc43111636"/>
      <w:bookmarkStart w:id="16" w:name="_Toc43126683"/>
      <w:bookmarkStart w:id="17" w:name="_Toc43126849"/>
      <w:bookmarkStart w:id="18" w:name="_Toc43282076"/>
      <w:bookmarkStart w:id="19" w:name="_Toc43282878"/>
      <w:bookmarkStart w:id="20" w:name="_Toc43289273"/>
      <w:bookmarkStart w:id="21" w:name="_Toc43290395"/>
      <w:bookmarkStart w:id="22" w:name="_Toc43371770"/>
      <w:bookmarkStart w:id="23" w:name="_Toc45005384"/>
      <w:bookmarkStart w:id="24" w:name="_Toc45008909"/>
      <w:bookmarkStart w:id="25" w:name="_Toc45020152"/>
      <w:r>
        <w:rPr>
          <w:b/>
          <w:i/>
          <w:iCs/>
          <w:sz w:val="22"/>
          <w:lang w:val="ru-RU"/>
        </w:rPr>
        <w:t>Правила за извођење објеката за пречишћавање вода</w:t>
      </w:r>
      <w:bookmarkEnd w:id="15"/>
      <w:bookmarkEnd w:id="16"/>
      <w:bookmarkEnd w:id="17"/>
      <w:bookmarkEnd w:id="18"/>
      <w:bookmarkEnd w:id="19"/>
      <w:bookmarkEnd w:id="20"/>
      <w:bookmarkEnd w:id="21"/>
      <w:bookmarkEnd w:id="22"/>
      <w:bookmarkEnd w:id="23"/>
      <w:bookmarkEnd w:id="24"/>
      <w:bookmarkEnd w:id="25"/>
    </w:p>
    <w:p>
      <w:pPr>
        <w:pStyle w:val="Normal"/>
        <w:suppressAutoHyphens w:val="false"/>
        <w:rPr>
          <w:rFonts w:ascii="Times New Roman" w:hAnsi="Times New Roman"/>
        </w:rPr>
      </w:pPr>
      <w:r>
        <w:rPr>
          <w:i/>
          <w:iCs/>
          <w:sz w:val="22"/>
          <w:lang w:val="ru-RU"/>
        </w:rPr>
        <w:t>Постројење за пречишћавање отпадне воде које се гради у коначној фази реализацији локације, је биолошки уређај који се испоручује као готов пакет за максимални број корисника на о</w:t>
      </w:r>
      <w:r>
        <w:rPr>
          <w:i/>
          <w:iCs/>
          <w:sz w:val="22"/>
          <w:lang w:val="sr-RS"/>
        </w:rPr>
        <w:t>дређеној</w:t>
      </w:r>
      <w:r>
        <w:rPr>
          <w:i/>
          <w:iCs/>
          <w:sz w:val="22"/>
          <w:lang w:val="ru-RU"/>
        </w:rPr>
        <w:t xml:space="preserve"> локацији,</w:t>
      </w:r>
      <w:r>
        <w:rPr>
          <w:i/>
          <w:iCs/>
          <w:sz w:val="22"/>
          <w:lang w:val="sr-RS"/>
        </w:rPr>
        <w:t xml:space="preserve"> </w:t>
      </w:r>
      <w:r>
        <w:rPr>
          <w:i/>
          <w:iCs/>
          <w:sz w:val="22"/>
          <w:lang w:val="ru-RU"/>
        </w:rPr>
        <w:t>оно ради на бази активног муља и служи за пречишћавање комуналне, санитарне отпадне воде. Углавном се као готов уређај израђује од 100% рецирклирајућег полиетилена.</w:t>
      </w:r>
    </w:p>
    <w:p>
      <w:pPr>
        <w:pStyle w:val="Normal"/>
        <w:suppressAutoHyphens w:val="false"/>
        <w:rPr>
          <w:rFonts w:ascii="Times New Roman" w:hAnsi="Times New Roman"/>
        </w:rPr>
      </w:pPr>
      <w:r>
        <w:rPr>
          <w:i/>
          <w:iCs/>
          <w:sz w:val="22"/>
          <w:lang w:val="ru-RU"/>
        </w:rPr>
        <w:t>Септичке јаме као привремено решење на локацији су водонепропусни објекти – сабирни резервоари који служе само за привремено одлагање отпадних вода, јер се оне морају редовно празнити црпљењем њиховог садржаја и његовим одношењем на Постројење за пречишћавање отпадних вода након његове реализације . Септичке јаме се третирају само као прелазно решење за локалну санитацију на нивоу комплекса, до изградње канализационе мреже насеља.</w:t>
      </w:r>
    </w:p>
    <w:p>
      <w:pPr>
        <w:pStyle w:val="Normal"/>
        <w:suppressAutoHyphens w:val="false"/>
        <w:rPr>
          <w:rFonts w:ascii="Times New Roman" w:hAnsi="Times New Roman" w:cs="Arial"/>
          <w:color w:val="FF0000"/>
          <w:sz w:val="22"/>
          <w:lang w:val="ru-RU"/>
        </w:rPr>
      </w:pPr>
      <w:r>
        <w:rPr>
          <w:rFonts w:cs="Arial"/>
          <w:color w:val="FF0000"/>
          <w:sz w:val="22"/>
          <w:lang w:val="ru-RU"/>
        </w:rPr>
      </w:r>
    </w:p>
    <w:p>
      <w:pPr>
        <w:pStyle w:val="Normal"/>
        <w:tabs>
          <w:tab w:val="clear" w:pos="720"/>
          <w:tab w:val="left" w:pos="1440" w:leader="none"/>
        </w:tabs>
        <w:suppressAutoHyphens w:val="false"/>
        <w:ind w:left="360" w:hanging="0"/>
        <w:rPr>
          <w:rFonts w:ascii="Times New Roman" w:hAnsi="Times New Roman"/>
        </w:rPr>
      </w:pPr>
      <w:r>
        <w:rPr>
          <w:b/>
          <w:bCs/>
          <w:i/>
          <w:iCs/>
          <w:caps/>
          <w:sz w:val="22"/>
          <w:szCs w:val="24"/>
          <w:lang w:val="sr-CS"/>
        </w:rPr>
        <w:t xml:space="preserve">2.1.1.5  инфраструктурни Објекти </w:t>
      </w:r>
    </w:p>
    <w:p>
      <w:pPr>
        <w:pStyle w:val="Normal"/>
        <w:suppressAutoHyphens w:val="false"/>
        <w:rPr>
          <w:rFonts w:ascii="Times New Roman" w:hAnsi="Times New Roman"/>
        </w:rPr>
      </w:pPr>
      <w:r>
        <w:rPr>
          <w:i/>
          <w:iCs/>
          <w:sz w:val="22"/>
          <w:lang w:val="sr-CS"/>
        </w:rPr>
        <w:t xml:space="preserve">Ову врсту објеката углавном треба планирати као површине јавне намене. </w:t>
      </w:r>
    </w:p>
    <w:p>
      <w:pPr>
        <w:pStyle w:val="Normal"/>
        <w:suppressAutoHyphens w:val="false"/>
        <w:rPr>
          <w:rFonts w:ascii="Times New Roman" w:hAnsi="Times New Roman"/>
        </w:rPr>
      </w:pPr>
      <w:r>
        <w:rPr>
          <w:i/>
          <w:iCs/>
          <w:sz w:val="22"/>
          <w:lang w:val="sr-CS"/>
        </w:rPr>
        <w:t>Изузетно, ако се раде на површинама изван површина јавне намене, за потребе појединачних инвеститора или групе, раде се по истим правилима која важе за објекте те намене на површинама јавне намене.</w:t>
      </w:r>
    </w:p>
    <w:p>
      <w:pPr>
        <w:pStyle w:val="Normal"/>
        <w:suppressAutoHyphens w:val="false"/>
        <w:rPr>
          <w:rFonts w:ascii="Times New Roman" w:hAnsi="Times New Roman"/>
        </w:rPr>
      </w:pPr>
      <w:r>
        <w:rPr>
          <w:i/>
          <w:iCs/>
          <w:sz w:val="22"/>
          <w:lang w:val="sr-CS"/>
        </w:rPr>
        <w:t>Управљање и одржавање ових објеката мора бити у складу са законском регулативом и на начин који обезбеђује њихово квалитетно коришћење, посебно ако су укључени у одговарајући јавни  систем.</w:t>
      </w:r>
    </w:p>
    <w:p>
      <w:pPr>
        <w:pStyle w:val="Normal"/>
        <w:tabs>
          <w:tab w:val="clear" w:pos="720"/>
          <w:tab w:val="left" w:pos="993" w:leader="none"/>
          <w:tab w:val="left" w:pos="8647" w:leader="dot"/>
        </w:tabs>
        <w:suppressAutoHyphens w:val="false"/>
        <w:ind w:left="993" w:hanging="0"/>
        <w:jc w:val="left"/>
        <w:rPr>
          <w:rFonts w:ascii="Times New Roman" w:hAnsi="Times New Roman"/>
          <w:b/>
          <w:b/>
          <w:i/>
          <w:i/>
          <w:iCs/>
          <w:caps/>
          <w:lang w:val="sr-CS"/>
        </w:rPr>
      </w:pPr>
      <w:r>
        <w:rPr>
          <w:b/>
          <w:i/>
          <w:iCs/>
          <w:caps/>
          <w:lang w:val="sr-CS"/>
        </w:rPr>
      </w:r>
    </w:p>
    <w:p>
      <w:pPr>
        <w:pStyle w:val="Normal"/>
        <w:tabs>
          <w:tab w:val="clear" w:pos="720"/>
          <w:tab w:val="left" w:pos="993" w:leader="none"/>
          <w:tab w:val="left" w:pos="8647" w:leader="dot"/>
        </w:tabs>
        <w:suppressAutoHyphens w:val="false"/>
        <w:ind w:hanging="0"/>
        <w:jc w:val="left"/>
        <w:rPr>
          <w:rFonts w:ascii="Times New Roman" w:hAnsi="Times New Roman"/>
        </w:rPr>
      </w:pPr>
      <w:r>
        <w:rPr>
          <w:b/>
          <w:i/>
          <w:iCs/>
          <w:caps/>
          <w:lang w:val="sr-CS"/>
        </w:rPr>
        <w:t>2.2. Услови за формирање грађевинске парцеле</w:t>
      </w:r>
    </w:p>
    <w:p>
      <w:pPr>
        <w:pStyle w:val="Normal"/>
        <w:tabs>
          <w:tab w:val="clear" w:pos="720"/>
          <w:tab w:val="left" w:pos="2835" w:leader="dot"/>
          <w:tab w:val="left" w:pos="4536" w:leader="dot"/>
          <w:tab w:val="left" w:pos="5670" w:leader="dot"/>
          <w:tab w:val="left" w:pos="7938" w:leader="dot"/>
          <w:tab w:val="right" w:pos="9072" w:leader="dot"/>
        </w:tabs>
        <w:suppressAutoHyphens w:val="false"/>
        <w:rPr>
          <w:rFonts w:ascii="Times New Roman" w:hAnsi="Times New Roman"/>
        </w:rPr>
      </w:pPr>
      <w:r>
        <w:rPr>
          <w:i/>
          <w:iCs/>
          <w:sz w:val="22"/>
          <w:lang w:val="sr-RS"/>
        </w:rPr>
        <w:t xml:space="preserve">у </w:t>
      </w:r>
      <w:r>
        <w:rPr>
          <w:i/>
          <w:iCs/>
          <w:sz w:val="22"/>
        </w:rPr>
        <w:t>радној зони</w:t>
      </w:r>
      <w:r>
        <w:rPr>
          <w:i/>
          <w:iCs/>
          <w:sz w:val="22"/>
          <w:lang w:val="sr-CS"/>
        </w:rPr>
        <w:t xml:space="preserve"> за комплексе минимално</w:t>
      </w:r>
      <w:r>
        <w:rPr>
          <w:i/>
          <w:iCs/>
          <w:sz w:val="22"/>
        </w:rPr>
        <w:t>:</w:t>
      </w:r>
    </w:p>
    <w:p>
      <w:pPr>
        <w:pStyle w:val="Normal"/>
        <w:tabs>
          <w:tab w:val="clear" w:pos="720"/>
          <w:tab w:val="left" w:pos="2835" w:leader="dot"/>
          <w:tab w:val="left" w:pos="4536" w:leader="dot"/>
          <w:tab w:val="left" w:pos="5670" w:leader="dot"/>
          <w:tab w:val="left" w:pos="7938" w:leader="dot"/>
          <w:tab w:val="right" w:pos="9072" w:leader="dot"/>
        </w:tabs>
        <w:suppressAutoHyphens w:val="false"/>
        <w:rPr>
          <w:rFonts w:ascii="Times New Roman" w:hAnsi="Times New Roman"/>
        </w:rPr>
      </w:pPr>
      <w:r>
        <w:rPr>
          <w:i/>
          <w:iCs/>
          <w:sz w:val="22"/>
          <w:lang w:val="sr-CS"/>
        </w:rPr>
        <w:t xml:space="preserve">слободностојећи производни и пословни објекти           ................ 1 500 </w:t>
      </w:r>
      <w:r>
        <w:rPr>
          <w:i/>
          <w:iCs/>
          <w:sz w:val="22"/>
          <w:lang w:val="sr-Latn-CS"/>
        </w:rPr>
        <w:t>m</w:t>
      </w:r>
      <w:r>
        <w:rPr>
          <w:i/>
          <w:iCs/>
          <w:sz w:val="22"/>
          <w:vertAlign w:val="superscript"/>
          <w:lang w:val="sr-CS"/>
        </w:rPr>
        <w:t xml:space="preserve">2 </w:t>
      </w:r>
    </w:p>
    <w:p>
      <w:pPr>
        <w:pStyle w:val="Normal"/>
        <w:shd w:val="clear" w:color="auto" w:fill="FFFFFF"/>
        <w:suppressAutoHyphens w:val="false"/>
        <w:rPr>
          <w:rFonts w:ascii="Times New Roman" w:hAnsi="Times New Roman"/>
          <w:i/>
          <w:i/>
          <w:iCs/>
          <w:sz w:val="16"/>
          <w:szCs w:val="16"/>
          <w:lang w:val="sr-Latn-CS"/>
        </w:rPr>
      </w:pPr>
      <w:r>
        <w:rPr>
          <w:i/>
          <w:iCs/>
          <w:sz w:val="16"/>
          <w:szCs w:val="16"/>
          <w:lang w:val="sr-Latn-CS"/>
        </w:rPr>
      </w:r>
    </w:p>
    <w:p>
      <w:pPr>
        <w:pStyle w:val="Normal"/>
        <w:tabs>
          <w:tab w:val="clear" w:pos="720"/>
          <w:tab w:val="left" w:pos="1260" w:leader="none"/>
        </w:tabs>
        <w:suppressAutoHyphens w:val="false"/>
        <w:jc w:val="left"/>
        <w:rPr>
          <w:rFonts w:ascii="Times New Roman" w:hAnsi="Times New Roman"/>
        </w:rPr>
      </w:pPr>
      <w:r>
        <w:rPr>
          <w:b/>
          <w:bCs/>
          <w:i/>
          <w:iCs/>
          <w:caps/>
          <w:sz w:val="22"/>
          <w:lang w:val="sr-CS"/>
        </w:rPr>
        <w:t>2.2.2. ширина фронта грађевинске парцеле</w:t>
      </w:r>
    </w:p>
    <w:p>
      <w:pPr>
        <w:pStyle w:val="Normal"/>
        <w:suppressAutoHyphens w:val="false"/>
        <w:rPr>
          <w:rFonts w:ascii="Times New Roman" w:hAnsi="Times New Roman"/>
        </w:rPr>
      </w:pPr>
      <w:r>
        <w:rPr>
          <w:rFonts w:eastAsia="Times New Roman"/>
          <w:b/>
          <w:i/>
          <w:iCs/>
          <w:sz w:val="22"/>
          <w:lang w:val="sr-CS"/>
        </w:rPr>
        <w:t>У радној зони:</w:t>
      </w:r>
      <w:r>
        <w:rPr>
          <w:rFonts w:eastAsia="Times New Roman"/>
          <w:b/>
          <w:i/>
          <w:iCs/>
          <w:sz w:val="22"/>
          <w:lang w:val="sr-RS"/>
        </w:rPr>
        <w:t xml:space="preserve"> </w:t>
      </w:r>
      <w:r>
        <w:rPr>
          <w:rFonts w:eastAsia="Times New Roman"/>
          <w:i/>
          <w:iCs/>
          <w:sz w:val="22"/>
          <w:lang w:val="sr-CS"/>
        </w:rPr>
        <w:t>за комплексе минимално ..................................................20,0m</w:t>
      </w:r>
    </w:p>
    <w:p>
      <w:pPr>
        <w:pStyle w:val="Normal"/>
        <w:suppressAutoHyphens w:val="false"/>
        <w:rPr>
          <w:rFonts w:ascii="Times New Roman" w:hAnsi="Times New Roman"/>
          <w:i/>
          <w:i/>
          <w:iCs/>
          <w:color w:val="FF0000"/>
          <w:sz w:val="22"/>
          <w:lang w:val="ru-RU"/>
        </w:rPr>
      </w:pPr>
      <w:r>
        <w:rPr>
          <w:i/>
          <w:iCs/>
          <w:color w:val="FF0000"/>
          <w:sz w:val="22"/>
          <w:lang w:val="ru-RU"/>
        </w:rPr>
      </w:r>
    </w:p>
    <w:p>
      <w:pPr>
        <w:pStyle w:val="Normal"/>
        <w:tabs>
          <w:tab w:val="clear" w:pos="720"/>
          <w:tab w:val="left" w:pos="993" w:leader="none"/>
          <w:tab w:val="left" w:pos="8647" w:leader="dot"/>
        </w:tabs>
        <w:suppressAutoHyphens w:val="false"/>
        <w:jc w:val="left"/>
        <w:rPr>
          <w:rFonts w:ascii="Times New Roman" w:hAnsi="Times New Roman"/>
        </w:rPr>
      </w:pPr>
      <w:r>
        <w:rPr>
          <w:b/>
          <w:i/>
          <w:iCs/>
          <w:caps/>
          <w:sz w:val="22"/>
          <w:lang w:val="sr-CS"/>
        </w:rPr>
        <w:t>Највећи дозвољени индекс заузетости и индекс изграђености ОБЈЕКАТА</w:t>
      </w:r>
    </w:p>
    <w:p>
      <w:pPr>
        <w:pStyle w:val="Normal"/>
        <w:tabs>
          <w:tab w:val="clear" w:pos="720"/>
          <w:tab w:val="left" w:pos="5670" w:leader="dot"/>
        </w:tabs>
        <w:suppressAutoHyphens w:val="false"/>
        <w:rPr>
          <w:rFonts w:ascii="Times New Roman" w:hAnsi="Times New Roman"/>
        </w:rPr>
      </w:pPr>
      <w:r>
        <w:rPr>
          <w:i/>
          <w:iCs/>
          <w:sz w:val="22"/>
          <w:u w:val="single"/>
          <w:lang w:val="sr-CS"/>
        </w:rPr>
        <w:t>Максимални</w:t>
      </w:r>
      <w:r>
        <w:rPr>
          <w:i/>
          <w:iCs/>
          <w:sz w:val="22"/>
          <w:u w:val="single"/>
        </w:rPr>
        <w:t xml:space="preserve"> индекс заузетости</w:t>
      </w:r>
      <w:r>
        <w:rPr>
          <w:i/>
          <w:iCs/>
          <w:sz w:val="22"/>
        </w:rPr>
        <w:t xml:space="preserve"> </w:t>
      </w:r>
    </w:p>
    <w:p>
      <w:pPr>
        <w:pStyle w:val="Normal"/>
        <w:tabs>
          <w:tab w:val="clear" w:pos="720"/>
          <w:tab w:val="left" w:pos="5670" w:leader="dot"/>
        </w:tabs>
        <w:suppressAutoHyphens w:val="false"/>
        <w:rPr>
          <w:rFonts w:ascii="Times New Roman" w:hAnsi="Times New Roman"/>
        </w:rPr>
      </w:pPr>
      <w:r>
        <w:rPr>
          <w:i/>
          <w:iCs/>
          <w:sz w:val="22"/>
          <w:lang w:val="sr-CS"/>
        </w:rPr>
        <w:t>Пословање:</w:t>
      </w:r>
    </w:p>
    <w:p>
      <w:pPr>
        <w:pStyle w:val="Normal"/>
        <w:numPr>
          <w:ilvl w:val="0"/>
          <w:numId w:val="26"/>
        </w:numPr>
        <w:tabs>
          <w:tab w:val="clear" w:pos="720"/>
          <w:tab w:val="left" w:pos="5670" w:leader="dot"/>
        </w:tabs>
        <w:suppressAutoHyphens w:val="false"/>
        <w:rPr>
          <w:rFonts w:ascii="Times New Roman" w:hAnsi="Times New Roman"/>
        </w:rPr>
      </w:pPr>
      <w:r>
        <w:rPr>
          <w:i/>
          <w:iCs/>
          <w:sz w:val="22"/>
          <w:lang w:val="sr-CS"/>
        </w:rPr>
        <w:t>мешовите намене</w:t>
      </w:r>
      <w:r>
        <w:rPr>
          <w:i/>
          <w:iCs/>
          <w:sz w:val="22"/>
          <w:lang w:val="ru-RU"/>
        </w:rPr>
        <w:t xml:space="preserve"> </w:t>
        <w:tab/>
      </w:r>
      <w:r>
        <w:rPr>
          <w:i/>
          <w:iCs/>
          <w:sz w:val="22"/>
          <w:lang w:val="sr-CS"/>
        </w:rPr>
        <w:t>50%</w:t>
      </w:r>
    </w:p>
    <w:p>
      <w:pPr>
        <w:pStyle w:val="Normal"/>
        <w:numPr>
          <w:ilvl w:val="0"/>
          <w:numId w:val="26"/>
        </w:numPr>
        <w:tabs>
          <w:tab w:val="clear" w:pos="720"/>
          <w:tab w:val="left" w:pos="5670" w:leader="dot"/>
        </w:tabs>
        <w:suppressAutoHyphens w:val="false"/>
        <w:rPr>
          <w:rFonts w:ascii="Times New Roman" w:hAnsi="Times New Roman"/>
        </w:rPr>
      </w:pPr>
      <w:r>
        <w:rPr>
          <w:i/>
          <w:iCs/>
          <w:sz w:val="22"/>
          <w:lang w:val="sr-CS"/>
        </w:rPr>
        <w:t>пословање и услуге</w:t>
      </w:r>
      <w:r>
        <w:rPr>
          <w:i/>
          <w:iCs/>
          <w:sz w:val="22"/>
          <w:lang w:val="ru-RU"/>
        </w:rPr>
        <w:tab/>
      </w:r>
      <w:r>
        <w:rPr>
          <w:i/>
          <w:iCs/>
          <w:sz w:val="22"/>
          <w:lang w:val="sr-CS"/>
        </w:rPr>
        <w:t>50%</w:t>
      </w:r>
    </w:p>
    <w:p>
      <w:pPr>
        <w:pStyle w:val="Normal"/>
        <w:numPr>
          <w:ilvl w:val="0"/>
          <w:numId w:val="26"/>
        </w:numPr>
        <w:tabs>
          <w:tab w:val="clear" w:pos="720"/>
          <w:tab w:val="left" w:pos="5670" w:leader="dot"/>
        </w:tabs>
        <w:suppressAutoHyphens w:val="false"/>
        <w:rPr>
          <w:rFonts w:ascii="Times New Roman" w:hAnsi="Times New Roman"/>
        </w:rPr>
      </w:pPr>
      <w:r>
        <w:rPr>
          <w:i/>
          <w:iCs/>
          <w:sz w:val="22"/>
          <w:lang w:val="sr-CS"/>
        </w:rPr>
        <w:t>радна зона</w:t>
      </w:r>
      <w:r>
        <w:rPr>
          <w:i/>
          <w:iCs/>
          <w:sz w:val="22"/>
        </w:rPr>
        <w:t xml:space="preserve"> </w:t>
        <w:tab/>
      </w:r>
      <w:r>
        <w:rPr>
          <w:i/>
          <w:iCs/>
          <w:sz w:val="22"/>
          <w:lang w:val="sr-CS"/>
        </w:rPr>
        <w:t>60%</w:t>
      </w:r>
    </w:p>
    <w:p>
      <w:pPr>
        <w:pStyle w:val="Normal"/>
        <w:tabs>
          <w:tab w:val="clear" w:pos="720"/>
          <w:tab w:val="left" w:pos="993" w:leader="none"/>
          <w:tab w:val="left" w:pos="8647" w:leader="dot"/>
        </w:tabs>
        <w:suppressAutoHyphens w:val="false"/>
        <w:ind w:left="426" w:hanging="0"/>
        <w:rPr>
          <w:rFonts w:ascii="Times New Roman" w:hAnsi="Times New Roman"/>
          <w:i/>
          <w:i/>
          <w:iCs/>
          <w:caps/>
          <w:sz w:val="16"/>
          <w:szCs w:val="16"/>
          <w:lang w:val="sr-CS"/>
        </w:rPr>
      </w:pPr>
      <w:r>
        <w:rPr>
          <w:i/>
          <w:iCs/>
          <w:caps/>
          <w:sz w:val="16"/>
          <w:szCs w:val="16"/>
          <w:lang w:val="sr-CS"/>
        </w:rPr>
      </w:r>
    </w:p>
    <w:p>
      <w:pPr>
        <w:pStyle w:val="Normal"/>
        <w:suppressAutoHyphens w:val="false"/>
        <w:rPr>
          <w:rFonts w:ascii="Times New Roman" w:hAnsi="Times New Roman"/>
        </w:rPr>
      </w:pPr>
      <w:r>
        <w:rPr>
          <w:i/>
          <w:iCs/>
          <w:sz w:val="22"/>
          <w:u w:val="single"/>
          <w:lang w:val="sr-CS"/>
        </w:rPr>
        <w:t xml:space="preserve">Максимални </w:t>
      </w:r>
      <w:r>
        <w:rPr>
          <w:i/>
          <w:iCs/>
          <w:sz w:val="22"/>
          <w:u w:val="single"/>
          <w:lang w:val="ru-RU"/>
        </w:rPr>
        <w:t>индекс изгра</w:t>
      </w:r>
      <w:r>
        <w:rPr>
          <w:i/>
          <w:iCs/>
          <w:sz w:val="22"/>
          <w:u w:val="single"/>
          <w:lang w:val="sr-Latn-CS"/>
        </w:rPr>
        <w:t>ђ</w:t>
      </w:r>
      <w:r>
        <w:rPr>
          <w:i/>
          <w:iCs/>
          <w:sz w:val="22"/>
          <w:u w:val="single"/>
          <w:lang w:val="ru-RU"/>
        </w:rPr>
        <w:t>ености</w:t>
      </w:r>
    </w:p>
    <w:p>
      <w:pPr>
        <w:pStyle w:val="Normal"/>
        <w:tabs>
          <w:tab w:val="clear" w:pos="720"/>
          <w:tab w:val="left" w:pos="5670" w:leader="dot"/>
        </w:tabs>
        <w:suppressAutoHyphens w:val="false"/>
        <w:rPr>
          <w:rFonts w:ascii="Times New Roman" w:hAnsi="Times New Roman"/>
        </w:rPr>
      </w:pPr>
      <w:r>
        <w:rPr>
          <w:i/>
          <w:iCs/>
          <w:sz w:val="22"/>
          <w:lang w:val="sr-CS"/>
        </w:rPr>
        <w:t>Пословање:</w:t>
      </w:r>
    </w:p>
    <w:p>
      <w:pPr>
        <w:pStyle w:val="Normal"/>
        <w:numPr>
          <w:ilvl w:val="0"/>
          <w:numId w:val="25"/>
        </w:numPr>
        <w:tabs>
          <w:tab w:val="clear" w:pos="720"/>
          <w:tab w:val="left" w:pos="5670" w:leader="dot"/>
        </w:tabs>
        <w:suppressAutoHyphens w:val="false"/>
        <w:rPr>
          <w:rFonts w:ascii="Times New Roman" w:hAnsi="Times New Roman"/>
        </w:rPr>
      </w:pPr>
      <w:r>
        <w:rPr>
          <w:i/>
          <w:iCs/>
          <w:sz w:val="22"/>
          <w:lang w:val="sr-CS"/>
        </w:rPr>
        <w:t>мешовите намене  .</w:t>
      </w:r>
      <w:r>
        <w:rPr>
          <w:i/>
          <w:iCs/>
          <w:sz w:val="22"/>
          <w:lang w:val="ru-RU"/>
        </w:rPr>
        <w:tab/>
      </w:r>
      <w:r>
        <w:rPr>
          <w:i/>
          <w:iCs/>
          <w:sz w:val="22"/>
          <w:lang w:val="sr-CS"/>
        </w:rPr>
        <w:t>1,6</w:t>
      </w:r>
    </w:p>
    <w:p>
      <w:pPr>
        <w:pStyle w:val="Normal"/>
        <w:numPr>
          <w:ilvl w:val="0"/>
          <w:numId w:val="25"/>
        </w:numPr>
        <w:tabs>
          <w:tab w:val="clear" w:pos="720"/>
          <w:tab w:val="left" w:pos="5670" w:leader="dot"/>
        </w:tabs>
        <w:suppressAutoHyphens w:val="false"/>
        <w:rPr>
          <w:rFonts w:ascii="Times New Roman" w:hAnsi="Times New Roman"/>
        </w:rPr>
      </w:pPr>
      <w:r>
        <w:rPr>
          <w:i/>
          <w:iCs/>
          <w:sz w:val="22"/>
          <w:lang w:val="sr-CS"/>
        </w:rPr>
        <w:t>пословање и услуге (стамб. зона)</w:t>
      </w:r>
      <w:r>
        <w:rPr>
          <w:i/>
          <w:iCs/>
          <w:sz w:val="22"/>
          <w:lang w:val="ru-RU"/>
        </w:rPr>
        <w:tab/>
      </w:r>
      <w:r>
        <w:rPr>
          <w:i/>
          <w:iCs/>
          <w:sz w:val="22"/>
          <w:lang w:val="sr-CS"/>
        </w:rPr>
        <w:t>1,6</w:t>
      </w:r>
    </w:p>
    <w:p>
      <w:pPr>
        <w:pStyle w:val="Normal"/>
        <w:numPr>
          <w:ilvl w:val="0"/>
          <w:numId w:val="25"/>
        </w:numPr>
        <w:tabs>
          <w:tab w:val="clear" w:pos="720"/>
          <w:tab w:val="left" w:pos="5670" w:leader="dot"/>
        </w:tabs>
        <w:suppressAutoHyphens w:val="false"/>
        <w:rPr>
          <w:rFonts w:ascii="Times New Roman" w:hAnsi="Times New Roman"/>
        </w:rPr>
      </w:pPr>
      <w:r>
        <w:rPr>
          <w:i/>
          <w:iCs/>
          <w:sz w:val="22"/>
          <w:lang w:val="sr-CS"/>
        </w:rPr>
        <w:t>радна зона</w:t>
      </w:r>
      <w:r>
        <w:rPr>
          <w:i/>
          <w:iCs/>
          <w:sz w:val="22"/>
        </w:rPr>
        <w:t xml:space="preserve"> </w:t>
        <w:tab/>
      </w:r>
      <w:r>
        <w:rPr>
          <w:i/>
          <w:iCs/>
          <w:sz w:val="22"/>
          <w:lang w:val="sr-CS"/>
        </w:rPr>
        <w:t>1,0</w:t>
      </w:r>
    </w:p>
    <w:p>
      <w:pPr>
        <w:pStyle w:val="Normal"/>
        <w:suppressAutoHyphens w:val="false"/>
        <w:rPr>
          <w:rFonts w:ascii="Times New Roman" w:hAnsi="Times New Roman"/>
          <w:i/>
          <w:i/>
          <w:iCs/>
          <w:color w:val="FF0000"/>
          <w:sz w:val="22"/>
          <w:lang w:val="ru-RU"/>
        </w:rPr>
      </w:pPr>
      <w:r>
        <w:rPr>
          <w:i/>
          <w:iCs/>
          <w:color w:val="FF0000"/>
          <w:sz w:val="22"/>
          <w:lang w:val="ru-RU"/>
        </w:rPr>
      </w:r>
    </w:p>
    <w:p>
      <w:pPr>
        <w:pStyle w:val="Normal"/>
        <w:suppressAutoHyphens w:val="false"/>
        <w:rPr>
          <w:rFonts w:ascii="Times New Roman" w:hAnsi="Times New Roman"/>
        </w:rPr>
      </w:pPr>
      <w:r>
        <w:rPr>
          <w:rFonts w:eastAsia="Times New Roman"/>
          <w:i/>
          <w:iCs/>
          <w:sz w:val="22"/>
          <w:lang w:val="sr-CS" w:eastAsia="x-none"/>
        </w:rPr>
        <w:t>Спратност објеката пословања, производње, комерцијалних делатности и слично зависи од технолошког процеса који се у њима обавља.</w:t>
      </w:r>
    </w:p>
    <w:p>
      <w:pPr>
        <w:pStyle w:val="Normal"/>
        <w:shd w:val="clear" w:color="auto" w:fill="FFFFFF"/>
        <w:suppressAutoHyphens w:val="false"/>
        <w:ind w:left="19" w:right="5" w:hanging="0"/>
        <w:rPr>
          <w:rFonts w:ascii="Times New Roman" w:hAnsi="Times New Roman"/>
        </w:rPr>
      </w:pPr>
      <w:r>
        <w:rPr>
          <w:i/>
          <w:iCs/>
          <w:sz w:val="22"/>
          <w:lang w:val="sr-CS"/>
        </w:rPr>
        <w:t>О</w:t>
      </w:r>
      <w:r>
        <w:rPr>
          <w:i/>
          <w:iCs/>
          <w:sz w:val="22"/>
          <w:lang w:val="ru-RU"/>
        </w:rPr>
        <w:t>бјекти могу имати подрумске ил</w:t>
      </w:r>
      <w:r>
        <w:rPr>
          <w:i/>
          <w:iCs/>
          <w:sz w:val="22"/>
          <w:lang w:val="sr-CS"/>
        </w:rPr>
        <w:t>и</w:t>
      </w:r>
      <w:r>
        <w:rPr>
          <w:i/>
          <w:iCs/>
          <w:sz w:val="22"/>
          <w:lang w:val="ru-RU"/>
        </w:rPr>
        <w:t xml:space="preserve"> сутеренске просторије ако не постоје сметње геотехничке и хидротехничке природе.</w:t>
      </w:r>
    </w:p>
    <w:p>
      <w:pPr>
        <w:pStyle w:val="Normal"/>
        <w:suppressAutoHyphens w:val="false"/>
        <w:rPr>
          <w:rFonts w:ascii="Times New Roman" w:hAnsi="Times New Roman" w:eastAsia="Times New Roman"/>
          <w:i/>
          <w:i/>
          <w:iCs/>
          <w:sz w:val="16"/>
          <w:szCs w:val="16"/>
          <w:lang w:val="sr-CS" w:eastAsia="x-none"/>
        </w:rPr>
      </w:pPr>
      <w:r>
        <w:rPr>
          <w:rFonts w:eastAsia="Times New Roman"/>
          <w:i/>
          <w:iCs/>
          <w:sz w:val="16"/>
          <w:szCs w:val="16"/>
          <w:lang w:val="sr-CS" w:eastAsia="x-none"/>
        </w:rPr>
      </w:r>
    </w:p>
    <w:p>
      <w:pPr>
        <w:pStyle w:val="Normal"/>
        <w:numPr>
          <w:ilvl w:val="0"/>
          <w:numId w:val="27"/>
        </w:numPr>
        <w:suppressAutoHyphens w:val="false"/>
        <w:rPr>
          <w:rFonts w:ascii="Times New Roman" w:hAnsi="Times New Roman"/>
        </w:rPr>
      </w:pPr>
      <w:r>
        <w:rPr>
          <w:b/>
          <w:bCs/>
          <w:i/>
          <w:iCs/>
          <w:sz w:val="22"/>
          <w:lang w:val="sr-CS"/>
        </w:rPr>
        <w:t xml:space="preserve">Растојање од границе парцеле </w:t>
      </w:r>
    </w:p>
    <w:p>
      <w:pPr>
        <w:pStyle w:val="Normal"/>
        <w:suppressAutoHyphens w:val="false"/>
        <w:jc w:val="left"/>
        <w:rPr>
          <w:rFonts w:ascii="Times New Roman" w:hAnsi="Times New Roman"/>
        </w:rPr>
      </w:pPr>
      <w:r>
        <w:rPr>
          <w:rFonts w:eastAsia="Times New Roman"/>
          <w:i/>
          <w:iCs/>
          <w:sz w:val="22"/>
          <w:lang w:val="sr-CS"/>
        </w:rPr>
        <w:t>Најмање дозвољено растојање основног габарита (без испада) објекта и линије суседне грађевинске парцеле је за:</w:t>
      </w:r>
    </w:p>
    <w:p>
      <w:pPr>
        <w:pStyle w:val="Normal"/>
        <w:numPr>
          <w:ilvl w:val="0"/>
          <w:numId w:val="28"/>
        </w:numPr>
        <w:suppressAutoHyphens w:val="false"/>
        <w:jc w:val="left"/>
        <w:rPr>
          <w:rFonts w:ascii="Times New Roman" w:hAnsi="Times New Roman"/>
        </w:rPr>
      </w:pPr>
      <w:r>
        <w:rPr>
          <w:rFonts w:eastAsia="Times New Roman"/>
          <w:i/>
          <w:iCs/>
          <w:sz w:val="22"/>
          <w:lang w:val="sr-CS"/>
        </w:rPr>
        <w:t xml:space="preserve">слободностојеће објекте на делу бочног дворишта северне орјентације 1,5 </w:t>
      </w:r>
      <w:r>
        <w:rPr>
          <w:rFonts w:eastAsia="Times New Roman"/>
          <w:i/>
          <w:iCs/>
          <w:sz w:val="22"/>
        </w:rPr>
        <w:t>m</w:t>
      </w:r>
    </w:p>
    <w:p>
      <w:pPr>
        <w:pStyle w:val="Normal"/>
        <w:numPr>
          <w:ilvl w:val="0"/>
          <w:numId w:val="28"/>
        </w:numPr>
        <w:suppressAutoHyphens w:val="false"/>
        <w:jc w:val="left"/>
        <w:rPr>
          <w:rFonts w:ascii="Times New Roman" w:hAnsi="Times New Roman"/>
        </w:rPr>
      </w:pPr>
      <w:r>
        <w:rPr>
          <w:rFonts w:eastAsia="Times New Roman"/>
          <w:i/>
          <w:iCs/>
          <w:sz w:val="22"/>
          <w:lang w:val="sr-CS"/>
        </w:rPr>
        <w:t xml:space="preserve">слободностојеће објекте на делу бочног дворишта јужне орјентације 2,5 </w:t>
      </w:r>
      <w:r>
        <w:rPr>
          <w:rFonts w:eastAsia="Times New Roman"/>
          <w:i/>
          <w:iCs/>
          <w:sz w:val="22"/>
        </w:rPr>
        <w:t>m</w:t>
      </w:r>
    </w:p>
    <w:p>
      <w:pPr>
        <w:pStyle w:val="Normal"/>
        <w:numPr>
          <w:ilvl w:val="0"/>
          <w:numId w:val="28"/>
        </w:numPr>
        <w:suppressAutoHyphens w:val="false"/>
        <w:rPr>
          <w:rFonts w:ascii="Times New Roman" w:hAnsi="Times New Roman"/>
        </w:rPr>
      </w:pPr>
      <w:r>
        <w:rPr>
          <w:rFonts w:eastAsia="Times New Roman"/>
          <w:i/>
          <w:iCs/>
          <w:sz w:val="22"/>
          <w:lang w:val="sr-CS"/>
        </w:rPr>
        <w:t xml:space="preserve">двојне објекте на бочном делу дворишта 4,0 </w:t>
      </w:r>
      <w:r>
        <w:rPr>
          <w:rFonts w:eastAsia="Times New Roman"/>
          <w:i/>
          <w:iCs/>
          <w:sz w:val="22"/>
        </w:rPr>
        <w:t>m</w:t>
      </w:r>
    </w:p>
    <w:p>
      <w:pPr>
        <w:pStyle w:val="Normal"/>
        <w:numPr>
          <w:ilvl w:val="0"/>
          <w:numId w:val="28"/>
        </w:numPr>
        <w:suppressAutoHyphens w:val="false"/>
        <w:rPr>
          <w:rFonts w:ascii="Times New Roman" w:hAnsi="Times New Roman"/>
        </w:rPr>
      </w:pPr>
      <w:r>
        <w:rPr>
          <w:rFonts w:eastAsia="Times New Roman"/>
          <w:i/>
          <w:iCs/>
          <w:sz w:val="22"/>
          <w:lang w:val="ru-RU"/>
        </w:rPr>
        <w:t xml:space="preserve">пословне објекте на бочном делу дворишта  5,0 </w:t>
      </w:r>
      <w:r>
        <w:rPr>
          <w:rFonts w:eastAsia="Times New Roman"/>
          <w:i/>
          <w:iCs/>
          <w:sz w:val="22"/>
        </w:rPr>
        <w:t>m</w:t>
      </w:r>
      <w:r>
        <w:rPr>
          <w:rFonts w:eastAsia="Times New Roman"/>
          <w:i/>
          <w:iCs/>
          <w:sz w:val="22"/>
          <w:lang w:val="sr-CS"/>
        </w:rPr>
        <w:t>.</w:t>
      </w:r>
    </w:p>
    <w:p>
      <w:pPr>
        <w:pStyle w:val="Normal"/>
        <w:numPr>
          <w:ilvl w:val="0"/>
          <w:numId w:val="28"/>
        </w:numPr>
        <w:suppressAutoHyphens w:val="false"/>
        <w:rPr>
          <w:rFonts w:ascii="Times New Roman" w:hAnsi="Times New Roman"/>
        </w:rPr>
      </w:pPr>
      <w:r>
        <w:rPr>
          <w:rFonts w:eastAsia="Times New Roman"/>
          <w:i/>
          <w:iCs/>
          <w:sz w:val="22"/>
          <w:lang w:val="ru-RU"/>
        </w:rPr>
        <w:t xml:space="preserve">производне објекте на бочном делу дворишта  10,0 </w:t>
      </w:r>
      <w:r>
        <w:rPr>
          <w:rFonts w:eastAsia="Times New Roman"/>
          <w:i/>
          <w:iCs/>
          <w:sz w:val="22"/>
        </w:rPr>
        <w:t>m</w:t>
      </w:r>
      <w:r>
        <w:rPr>
          <w:rFonts w:eastAsia="Times New Roman"/>
          <w:i/>
          <w:iCs/>
          <w:sz w:val="22"/>
          <w:lang w:val="sr-CS"/>
        </w:rPr>
        <w:t>.</w:t>
      </w:r>
    </w:p>
    <w:p>
      <w:pPr>
        <w:pStyle w:val="Normal"/>
        <w:numPr>
          <w:ilvl w:val="0"/>
          <w:numId w:val="28"/>
        </w:numPr>
        <w:tabs>
          <w:tab w:val="clear" w:pos="720"/>
          <w:tab w:val="left" w:pos="993" w:leader="none"/>
          <w:tab w:val="left" w:pos="8647" w:leader="dot"/>
        </w:tabs>
        <w:suppressAutoHyphens w:val="false"/>
        <w:rPr>
          <w:rFonts w:ascii="Times New Roman" w:hAnsi="Times New Roman"/>
        </w:rPr>
      </w:pPr>
      <w:r>
        <w:rPr>
          <w:i/>
          <w:iCs/>
          <w:sz w:val="22"/>
          <w:szCs w:val="24"/>
          <w:lang w:val="sr-CS"/>
        </w:rPr>
        <w:t xml:space="preserve">На властитој парцели мора се обезбедити минимум 5,0м заштитног зеленог појаса по ободу парцеле. </w:t>
      </w:r>
    </w:p>
    <w:p>
      <w:pPr>
        <w:pStyle w:val="Normal"/>
        <w:numPr>
          <w:ilvl w:val="0"/>
          <w:numId w:val="28"/>
        </w:numPr>
        <w:tabs>
          <w:tab w:val="clear" w:pos="720"/>
          <w:tab w:val="left" w:pos="993" w:leader="none"/>
          <w:tab w:val="left" w:pos="8647" w:leader="dot"/>
        </w:tabs>
        <w:suppressAutoHyphens w:val="false"/>
        <w:rPr>
          <w:rFonts w:ascii="Times New Roman" w:hAnsi="Times New Roman"/>
        </w:rPr>
      </w:pPr>
      <w:r>
        <w:rPr>
          <w:i/>
          <w:iCs/>
          <w:sz w:val="22"/>
          <w:szCs w:val="24"/>
          <w:lang w:val="sr-CS"/>
        </w:rPr>
        <w:t>У случајевима кад се на суседној парцели налази већ изграђени стамбени објекат  тад се обавезно задржава одстојање од 15,0</w:t>
      </w:r>
      <w:r>
        <w:rPr>
          <w:i/>
          <w:iCs/>
          <w:sz w:val="22"/>
          <w:szCs w:val="24"/>
          <w:lang w:val="sr-Latn-CS"/>
        </w:rPr>
        <w:t>m</w:t>
      </w:r>
      <w:r>
        <w:rPr>
          <w:i/>
          <w:iCs/>
          <w:sz w:val="22"/>
          <w:szCs w:val="24"/>
          <w:lang w:val="sr-CS"/>
        </w:rPr>
        <w:t xml:space="preserve"> од међе и 10,0</w:t>
      </w:r>
      <w:r>
        <w:rPr>
          <w:i/>
          <w:iCs/>
          <w:sz w:val="22"/>
          <w:szCs w:val="24"/>
          <w:lang w:val="sr-Latn-CS"/>
        </w:rPr>
        <w:t>m</w:t>
      </w:r>
      <w:r>
        <w:rPr>
          <w:i/>
          <w:iCs/>
          <w:sz w:val="22"/>
          <w:szCs w:val="24"/>
          <w:lang w:val="sr-CS"/>
        </w:rPr>
        <w:t xml:space="preserve"> зеленог заштитног појаса.</w:t>
      </w:r>
    </w:p>
    <w:p>
      <w:pPr>
        <w:pStyle w:val="Normal"/>
        <w:numPr>
          <w:ilvl w:val="0"/>
          <w:numId w:val="28"/>
        </w:numPr>
        <w:tabs>
          <w:tab w:val="clear" w:pos="720"/>
          <w:tab w:val="left" w:pos="993" w:leader="none"/>
          <w:tab w:val="left" w:pos="8647" w:leader="dot"/>
        </w:tabs>
        <w:suppressAutoHyphens w:val="false"/>
        <w:rPr>
          <w:rFonts w:ascii="Times New Roman" w:hAnsi="Times New Roman"/>
        </w:rPr>
      </w:pPr>
      <w:r>
        <w:rPr>
          <w:i/>
          <w:iCs/>
          <w:sz w:val="22"/>
          <w:szCs w:val="24"/>
          <w:lang w:val="sr-CS"/>
        </w:rPr>
        <w:t xml:space="preserve"> </w:t>
      </w:r>
      <w:r>
        <w:rPr>
          <w:i/>
          <w:iCs/>
          <w:sz w:val="22"/>
          <w:szCs w:val="24"/>
          <w:lang w:val="sr-CS"/>
        </w:rPr>
        <w:t>У случајевима где је урбанистичким планом простор одређен као радна зона тим планом се утврђују и прописују потребна одстојања.</w:t>
      </w:r>
    </w:p>
    <w:p>
      <w:pPr>
        <w:pStyle w:val="ListParagraph"/>
        <w:numPr>
          <w:ilvl w:val="0"/>
          <w:numId w:val="28"/>
        </w:numPr>
        <w:shd w:val="clear" w:color="auto" w:fill="FFFFFF"/>
        <w:ind w:left="567" w:right="5" w:hanging="567"/>
        <w:rPr>
          <w:rFonts w:ascii="Times New Roman" w:hAnsi="Times New Roman"/>
        </w:rPr>
      </w:pPr>
      <w:r>
        <w:rPr>
          <w:rFonts w:cs="Arial"/>
          <w:sz w:val="22"/>
          <w:lang w:val="ru-RU"/>
        </w:rPr>
        <w:t xml:space="preserve">Грађевинске парцеле на којима се налазе индустријски објекти и остали радни и пословни објекти индустријских зона (складишта, радионице и си.) могу се ограђивати зиданом оградом висине до 2,20 </w:t>
      </w:r>
      <w:r>
        <w:rPr>
          <w:rFonts w:cs="Arial"/>
          <w:sz w:val="22"/>
        </w:rPr>
        <w:t>m</w:t>
      </w:r>
      <w:r>
        <w:rPr>
          <w:rFonts w:cs="Arial"/>
          <w:sz w:val="22"/>
          <w:lang w:val="ru-RU"/>
        </w:rPr>
        <w:t>.</w:t>
      </w:r>
    </w:p>
    <w:p>
      <w:pPr>
        <w:pStyle w:val="Normal"/>
        <w:tabs>
          <w:tab w:val="clear" w:pos="720"/>
          <w:tab w:val="left" w:pos="993" w:leader="none"/>
          <w:tab w:val="left" w:pos="8647" w:leader="dot"/>
        </w:tabs>
        <w:suppressAutoHyphens w:val="false"/>
        <w:jc w:val="left"/>
        <w:rPr>
          <w:rFonts w:ascii="Times New Roman" w:hAnsi="Times New Roman"/>
          <w:b/>
          <w:b/>
          <w:i/>
          <w:i/>
          <w:iCs/>
          <w:caps/>
          <w:sz w:val="22"/>
          <w:lang w:val="sr-CS"/>
        </w:rPr>
      </w:pPr>
      <w:r>
        <w:rPr>
          <w:b/>
          <w:i/>
          <w:iCs/>
          <w:caps/>
          <w:sz w:val="22"/>
          <w:lang w:val="sr-CS"/>
        </w:rPr>
      </w:r>
    </w:p>
    <w:p>
      <w:pPr>
        <w:pStyle w:val="Normal"/>
        <w:tabs>
          <w:tab w:val="clear" w:pos="720"/>
          <w:tab w:val="left" w:pos="993" w:leader="none"/>
          <w:tab w:val="left" w:pos="8647" w:leader="dot"/>
        </w:tabs>
        <w:suppressAutoHyphens w:val="false"/>
        <w:jc w:val="left"/>
        <w:rPr>
          <w:rFonts w:ascii="Times New Roman" w:hAnsi="Times New Roman"/>
        </w:rPr>
      </w:pPr>
      <w:r>
        <w:rPr>
          <w:b/>
          <w:i/>
          <w:iCs/>
          <w:caps/>
          <w:sz w:val="22"/>
          <w:lang w:val="sr-CS"/>
        </w:rPr>
        <w:t>положај појединих грађевинских елемената и начин ограђивања парцеле</w:t>
      </w:r>
    </w:p>
    <w:p>
      <w:pPr>
        <w:pStyle w:val="Normal"/>
        <w:suppressAutoHyphens w:val="false"/>
        <w:rPr>
          <w:rFonts w:ascii="Times New Roman" w:hAnsi="Times New Roman" w:eastAsia="Times New Roman"/>
          <w:i/>
          <w:i/>
          <w:iCs/>
          <w:sz w:val="22"/>
          <w:lang w:val="sr-CS"/>
        </w:rPr>
      </w:pPr>
      <w:r>
        <w:rPr>
          <w:rFonts w:eastAsia="Times New Roman"/>
          <w:i/>
          <w:iCs/>
          <w:sz w:val="22"/>
          <w:lang w:val="sr-CS"/>
        </w:rPr>
      </w:r>
    </w:p>
    <w:p>
      <w:pPr>
        <w:pStyle w:val="Normal"/>
        <w:shd w:val="clear" w:color="auto" w:fill="FFFFFF"/>
        <w:suppressAutoHyphens w:val="false"/>
        <w:ind w:left="14" w:right="19" w:hanging="0"/>
        <w:rPr>
          <w:rFonts w:ascii="Times New Roman" w:hAnsi="Times New Roman"/>
        </w:rPr>
      </w:pPr>
      <w:r>
        <w:rPr>
          <w:i/>
          <w:iCs/>
          <w:sz w:val="22"/>
          <w:lang w:val="ru-RU"/>
        </w:rPr>
        <w:t xml:space="preserve">Грађевинске парцеле могу се </w:t>
      </w:r>
      <w:r>
        <w:rPr>
          <w:b/>
          <w:i/>
          <w:iCs/>
          <w:sz w:val="22"/>
          <w:lang w:val="ru-RU"/>
        </w:rPr>
        <w:t xml:space="preserve">ограђивати </w:t>
      </w:r>
      <w:r>
        <w:rPr>
          <w:i/>
          <w:iCs/>
          <w:sz w:val="22"/>
          <w:lang w:val="ru-RU"/>
        </w:rPr>
        <w:t xml:space="preserve">зиданом оградом до висине од 0,90 </w:t>
      </w:r>
      <w:r>
        <w:rPr>
          <w:i/>
          <w:iCs/>
          <w:sz w:val="22"/>
        </w:rPr>
        <w:t>m</w:t>
      </w:r>
      <w:r>
        <w:rPr>
          <w:i/>
          <w:iCs/>
          <w:sz w:val="22"/>
          <w:lang w:val="ru-RU"/>
        </w:rPr>
        <w:t xml:space="preserve"> (рачунајући од коте тротоара) или транспарентном оградом до висине од 1,40 </w:t>
      </w:r>
      <w:r>
        <w:rPr>
          <w:i/>
          <w:iCs/>
          <w:sz w:val="22"/>
        </w:rPr>
        <w:t>m</w:t>
      </w:r>
      <w:r>
        <w:rPr>
          <w:i/>
          <w:iCs/>
          <w:sz w:val="22"/>
          <w:lang w:val="ru-RU"/>
        </w:rPr>
        <w:t>.</w:t>
      </w:r>
    </w:p>
    <w:p>
      <w:pPr>
        <w:pStyle w:val="Normal"/>
        <w:shd w:val="clear" w:color="auto" w:fill="FFFFFF"/>
        <w:suppressAutoHyphens w:val="false"/>
        <w:ind w:right="10" w:hanging="0"/>
        <w:rPr>
          <w:rFonts w:ascii="Times New Roman" w:hAnsi="Times New Roman"/>
        </w:rPr>
      </w:pPr>
      <w:r>
        <w:rPr>
          <w:i/>
          <w:iCs/>
          <w:sz w:val="22"/>
          <w:lang w:val="ru-RU"/>
        </w:rPr>
        <w:t xml:space="preserve">Парцеле чија је кота нивелете виша од 0,90 </w:t>
      </w:r>
      <w:r>
        <w:rPr>
          <w:i/>
          <w:iCs/>
          <w:sz w:val="22"/>
        </w:rPr>
        <w:t>m</w:t>
      </w:r>
      <w:r>
        <w:rPr>
          <w:i/>
          <w:iCs/>
          <w:sz w:val="22"/>
          <w:lang w:val="ru-RU"/>
        </w:rPr>
        <w:t xml:space="preserve"> од суседне, могу се ограђивати транспарентном оградом до висине од 1,40 </w:t>
      </w:r>
      <w:r>
        <w:rPr>
          <w:i/>
          <w:iCs/>
          <w:sz w:val="22"/>
        </w:rPr>
        <w:t>m</w:t>
      </w:r>
      <w:r>
        <w:rPr>
          <w:i/>
          <w:iCs/>
          <w:sz w:val="22"/>
          <w:lang w:val="ru-RU"/>
        </w:rPr>
        <w:t xml:space="preserve"> која се може постављати на подзид чију висину одређује надлежни општински орган.</w:t>
      </w:r>
    </w:p>
    <w:p>
      <w:pPr>
        <w:pStyle w:val="Normal"/>
        <w:shd w:val="clear" w:color="auto" w:fill="FFFFFF"/>
        <w:suppressAutoHyphens w:val="false"/>
        <w:ind w:left="5" w:right="14" w:hanging="0"/>
        <w:rPr>
          <w:rFonts w:ascii="Times New Roman" w:hAnsi="Times New Roman"/>
        </w:rPr>
      </w:pPr>
      <w:r>
        <w:rPr>
          <w:i/>
          <w:iCs/>
          <w:sz w:val="22"/>
          <w:lang w:val="ru-RU"/>
        </w:rPr>
        <w:t>Зидане и друге врсте ограда постављају се на регулациону линију тако да ограда, стубови ограде и капије буду на грађевинској парцели која се ограђује.</w:t>
      </w:r>
    </w:p>
    <w:p>
      <w:pPr>
        <w:pStyle w:val="Normal"/>
        <w:shd w:val="clear" w:color="auto" w:fill="FFFFFF"/>
        <w:suppressAutoHyphens w:val="false"/>
        <w:ind w:left="5" w:hanging="0"/>
        <w:rPr>
          <w:rFonts w:ascii="Times New Roman" w:hAnsi="Times New Roman"/>
        </w:rPr>
      </w:pPr>
      <w:r>
        <w:rPr>
          <w:i/>
          <w:iCs/>
          <w:sz w:val="22"/>
          <w:lang w:val="ru-RU"/>
        </w:rPr>
        <w:t xml:space="preserve">Зидана непрозирна ограда између парцела подиже се до висине 1,40 </w:t>
      </w:r>
      <w:r>
        <w:rPr>
          <w:i/>
          <w:iCs/>
          <w:sz w:val="22"/>
        </w:rPr>
        <w:t>m</w:t>
      </w:r>
      <w:r>
        <w:rPr>
          <w:i/>
          <w:iCs/>
          <w:sz w:val="22"/>
          <w:lang w:val="ru-RU"/>
        </w:rPr>
        <w:t xml:space="preserve"> уз сагласност суседа, тако да стубови ограде буду на земљишту власника ограде.</w:t>
      </w:r>
    </w:p>
    <w:p>
      <w:pPr>
        <w:pStyle w:val="Normal"/>
        <w:shd w:val="clear" w:color="auto" w:fill="FFFFFF"/>
        <w:suppressAutoHyphens w:val="false"/>
        <w:ind w:right="5" w:hanging="0"/>
        <w:rPr>
          <w:rFonts w:ascii="Times New Roman" w:hAnsi="Times New Roman"/>
        </w:rPr>
      </w:pPr>
      <w:r>
        <w:rPr>
          <w:i/>
          <w:iCs/>
          <w:sz w:val="22"/>
          <w:lang w:val="ru-RU"/>
        </w:rPr>
        <w:t xml:space="preserve">Суседне грађевинске парцеле могу се ограђивати живом зеленом оградом која се сади у осовини границе грађевинске парцеле или транспарентном оградом до висине од 1,40 </w:t>
      </w:r>
      <w:r>
        <w:rPr>
          <w:i/>
          <w:iCs/>
          <w:sz w:val="22"/>
        </w:rPr>
        <w:t>m</w:t>
      </w:r>
      <w:r>
        <w:rPr>
          <w:i/>
          <w:iCs/>
          <w:sz w:val="22"/>
          <w:lang w:val="ru-RU"/>
        </w:rPr>
        <w:t>, која се поставља према катастарском плану и операту, тако да стубови ограде буду на земљишту власника ограде.</w:t>
      </w:r>
    </w:p>
    <w:p>
      <w:pPr>
        <w:pStyle w:val="Normal"/>
        <w:shd w:val="clear" w:color="auto" w:fill="FFFFFF"/>
        <w:suppressAutoHyphens w:val="false"/>
        <w:rPr>
          <w:rFonts w:ascii="Times New Roman" w:hAnsi="Times New Roman"/>
        </w:rPr>
      </w:pPr>
      <w:r>
        <w:rPr>
          <w:i/>
          <w:iCs/>
          <w:sz w:val="22"/>
          <w:lang w:val="ru-RU"/>
        </w:rPr>
        <w:t>Врата и капије на уличној огради не могу се отварати ван регулационе линије.</w:t>
      </w:r>
    </w:p>
    <w:p>
      <w:pPr>
        <w:pStyle w:val="Normal"/>
        <w:shd w:val="clear" w:color="auto" w:fill="FFFFFF"/>
        <w:suppressAutoHyphens w:val="false"/>
        <w:ind w:right="5" w:hanging="0"/>
        <w:rPr>
          <w:rFonts w:ascii="Times New Roman" w:hAnsi="Times New Roman"/>
        </w:rPr>
      </w:pPr>
      <w:r>
        <w:rPr>
          <w:i/>
          <w:iCs/>
          <w:sz w:val="22"/>
          <w:lang w:val="ru-RU"/>
        </w:rPr>
        <w:t>Парцела у сеоском насељу може се преграђивати у функционалне целине (стамбени део, економски део, економски приступ, стамбени приступ и окућница), с тим да висина унутрашње ограде не може бити већа од висине спољне ограде.</w:t>
      </w:r>
    </w:p>
    <w:p>
      <w:pPr>
        <w:pStyle w:val="Normal"/>
        <w:shd w:val="clear" w:color="auto" w:fill="FFFFFF"/>
        <w:suppressAutoHyphens w:val="false"/>
        <w:rPr>
          <w:rFonts w:ascii="Times New Roman" w:hAnsi="Times New Roman"/>
        </w:rPr>
      </w:pPr>
      <w:r>
        <w:rPr>
          <w:i/>
          <w:iCs/>
          <w:sz w:val="22"/>
          <w:lang w:val="ru-RU"/>
        </w:rPr>
        <w:t>Грађевинске парцеле на којима се налазе објекти који представљају непосредну опасност по живот људи, као и грађевинске парцеле специјалне намене, ограђују се на начин који одреди надлежни орган.</w:t>
      </w:r>
    </w:p>
    <w:p>
      <w:pPr>
        <w:pStyle w:val="Normal"/>
        <w:shd w:val="clear" w:color="auto" w:fill="FFFFFF"/>
        <w:suppressAutoHyphens w:val="false"/>
        <w:ind w:right="5" w:hanging="0"/>
        <w:rPr>
          <w:rFonts w:ascii="Times New Roman" w:hAnsi="Times New Roman"/>
        </w:rPr>
      </w:pPr>
      <w:r>
        <w:rPr>
          <w:i/>
          <w:iCs/>
          <w:sz w:val="22"/>
          <w:lang w:val="ru-RU"/>
        </w:rPr>
        <w:t xml:space="preserve">Грађевинске парцеле на којима се налазе индустријски објекти и остали радни и пословни објекти индустријских зона (складишта, радионице и си.) могу се ограђивати зиданом оградом висине до 2,20 </w:t>
      </w:r>
      <w:r>
        <w:rPr>
          <w:i/>
          <w:iCs/>
          <w:sz w:val="22"/>
        </w:rPr>
        <w:t>m</w:t>
      </w:r>
      <w:r>
        <w:rPr>
          <w:i/>
          <w:iCs/>
          <w:sz w:val="22"/>
          <w:lang w:val="ru-RU"/>
        </w:rPr>
        <w:t>.</w:t>
      </w:r>
    </w:p>
    <w:p>
      <w:pPr>
        <w:pStyle w:val="Normal"/>
        <w:shd w:val="clear" w:color="auto" w:fill="FFFFFF"/>
        <w:suppressAutoHyphens w:val="false"/>
        <w:rPr>
          <w:rFonts w:ascii="Times New Roman" w:hAnsi="Times New Roman"/>
          <w:b/>
          <w:b/>
          <w:bCs/>
          <w:i/>
          <w:i/>
          <w:iCs/>
          <w:sz w:val="22"/>
          <w:lang w:val="sr-CS"/>
        </w:rPr>
      </w:pPr>
      <w:r>
        <w:rPr>
          <w:b/>
          <w:bCs/>
          <w:i/>
          <w:iCs/>
          <w:sz w:val="22"/>
          <w:lang w:val="sr-CS"/>
        </w:rPr>
      </w:r>
    </w:p>
    <w:p>
      <w:pPr>
        <w:pStyle w:val="Normal"/>
        <w:tabs>
          <w:tab w:val="clear" w:pos="720"/>
          <w:tab w:val="left" w:pos="993" w:leader="none"/>
          <w:tab w:val="left" w:pos="8647" w:leader="dot"/>
        </w:tabs>
        <w:suppressAutoHyphens w:val="false"/>
        <w:jc w:val="left"/>
        <w:rPr>
          <w:rFonts w:ascii="Times New Roman" w:hAnsi="Times New Roman"/>
        </w:rPr>
      </w:pPr>
      <w:r>
        <w:rPr>
          <w:b/>
          <w:i/>
          <w:iCs/>
          <w:caps/>
          <w:sz w:val="22"/>
          <w:lang w:val="sr-CS"/>
        </w:rPr>
        <w:t>Услови и начин обезбеђивања приступа парцели и простора за паркирање возила</w:t>
      </w:r>
    </w:p>
    <w:p>
      <w:pPr>
        <w:pStyle w:val="Normal"/>
        <w:numPr>
          <w:ilvl w:val="0"/>
          <w:numId w:val="27"/>
        </w:numPr>
        <w:suppressAutoHyphens w:val="false"/>
        <w:ind w:left="540" w:hanging="540"/>
        <w:rPr>
          <w:rFonts w:ascii="Times New Roman" w:hAnsi="Times New Roman"/>
        </w:rPr>
      </w:pPr>
      <w:r>
        <w:rPr>
          <w:b/>
          <w:i/>
          <w:iCs/>
          <w:sz w:val="22"/>
          <w:lang w:val="sr-CS"/>
        </w:rPr>
        <w:t>Излаз на јавну саобраћајницу</w:t>
      </w:r>
    </w:p>
    <w:p>
      <w:pPr>
        <w:pStyle w:val="Normal"/>
        <w:suppressAutoHyphens w:val="false"/>
        <w:spacing w:lineRule="exact" w:line="280"/>
        <w:rPr>
          <w:rFonts w:ascii="Times New Roman" w:hAnsi="Times New Roman"/>
        </w:rPr>
      </w:pPr>
      <w:r>
        <w:rPr>
          <w:i/>
          <w:iCs/>
          <w:sz w:val="22"/>
          <w:lang w:val="sr-CS"/>
        </w:rPr>
        <w:t>Грађевинска парцела мора имати трајно обезбеђен приступ на јавну саобраћајницу.</w:t>
      </w:r>
    </w:p>
    <w:p>
      <w:pPr>
        <w:pStyle w:val="Normal"/>
        <w:suppressAutoHyphens w:val="false"/>
        <w:spacing w:lineRule="exact" w:line="280"/>
        <w:rPr>
          <w:rFonts w:ascii="Times New Roman" w:hAnsi="Times New Roman"/>
        </w:rPr>
      </w:pPr>
      <w:r>
        <w:rPr>
          <w:i/>
          <w:iCs/>
          <w:sz w:val="22"/>
          <w:lang w:val="sr-CS"/>
        </w:rPr>
        <w:t>Ако се грађевинска парцела не ослања директно на јавну саобраћајницу, њена веза са јавном саобраћајницом се остварује преко приступног пута минималне ширине, за:</w:t>
      </w:r>
    </w:p>
    <w:p>
      <w:pPr>
        <w:pStyle w:val="Normal"/>
        <w:numPr>
          <w:ilvl w:val="0"/>
          <w:numId w:val="29"/>
        </w:numPr>
        <w:suppressAutoHyphens w:val="false"/>
        <w:spacing w:lineRule="exact" w:line="280"/>
        <w:rPr>
          <w:rFonts w:ascii="Times New Roman" w:hAnsi="Times New Roman"/>
        </w:rPr>
      </w:pPr>
      <w:r>
        <w:rPr>
          <w:i/>
          <w:iCs/>
          <w:sz w:val="22"/>
          <w:lang w:val="sr-CS"/>
        </w:rPr>
        <w:t>производно-пословни објекат..............................................5,0</w:t>
      </w:r>
      <w:r>
        <w:rPr>
          <w:i/>
          <w:iCs/>
          <w:sz w:val="22"/>
          <w:lang w:val="ru-RU"/>
        </w:rPr>
        <w:t xml:space="preserve"> </w:t>
      </w:r>
      <w:r>
        <w:rPr>
          <w:i/>
          <w:iCs/>
          <w:sz w:val="22"/>
        </w:rPr>
        <w:t>m</w:t>
      </w:r>
    </w:p>
    <w:p>
      <w:pPr>
        <w:pStyle w:val="Normal"/>
        <w:numPr>
          <w:ilvl w:val="0"/>
          <w:numId w:val="29"/>
        </w:numPr>
        <w:suppressAutoHyphens w:val="false"/>
        <w:spacing w:lineRule="exact" w:line="280"/>
        <w:rPr>
          <w:rFonts w:ascii="Times New Roman" w:hAnsi="Times New Roman"/>
        </w:rPr>
      </w:pPr>
      <w:r>
        <w:rPr>
          <w:i/>
          <w:iCs/>
          <w:sz w:val="22"/>
          <w:lang w:val="sr-CS"/>
        </w:rPr>
        <w:t>производно-пословни комплекс...........................................5,5</w:t>
      </w:r>
      <w:r>
        <w:rPr>
          <w:i/>
          <w:iCs/>
          <w:sz w:val="22"/>
          <w:lang w:val="ru-RU"/>
        </w:rPr>
        <w:t xml:space="preserve"> </w:t>
      </w:r>
      <w:r>
        <w:rPr>
          <w:i/>
          <w:iCs/>
          <w:sz w:val="22"/>
        </w:rPr>
        <w:t>m</w:t>
      </w:r>
    </w:p>
    <w:p>
      <w:pPr>
        <w:pStyle w:val="Normal"/>
        <w:suppressAutoHyphens w:val="false"/>
        <w:spacing w:lineRule="exact" w:line="280"/>
        <w:ind w:left="113" w:hanging="0"/>
        <w:rPr>
          <w:rFonts w:ascii="Times New Roman" w:hAnsi="Times New Roman"/>
        </w:rPr>
      </w:pPr>
      <w:r>
        <w:rPr>
          <w:i/>
          <w:iCs/>
          <w:sz w:val="22"/>
          <w:lang w:val="ru-RU"/>
        </w:rPr>
        <w:t xml:space="preserve">(ако </w:t>
      </w:r>
      <w:r>
        <w:rPr>
          <w:i/>
          <w:iCs/>
          <w:sz w:val="22"/>
          <w:lang w:val="sr-CS"/>
        </w:rPr>
        <w:t>приступни пут</w:t>
      </w:r>
      <w:r>
        <w:rPr>
          <w:i/>
          <w:iCs/>
          <w:sz w:val="22"/>
          <w:lang w:val="ru-RU"/>
        </w:rPr>
        <w:t xml:space="preserve"> не повезује две постојеће јавне саобраћајнице и ако је дужи од  40</w:t>
      </w:r>
      <w:r>
        <w:rPr>
          <w:i/>
          <w:iCs/>
          <w:sz w:val="22"/>
          <w:lang w:val="sr-Latn-CS"/>
        </w:rPr>
        <w:t xml:space="preserve">m </w:t>
      </w:r>
      <w:r>
        <w:rPr>
          <w:i/>
          <w:iCs/>
          <w:sz w:val="22"/>
          <w:lang w:val="ru-RU"/>
        </w:rPr>
        <w:t>мора имати окретницу за меродавно доставно возило</w:t>
      </w:r>
      <w:r>
        <w:rPr>
          <w:i/>
          <w:iCs/>
          <w:sz w:val="22"/>
          <w:lang w:val="sr-Latn-CS"/>
        </w:rPr>
        <w:t>)</w:t>
      </w:r>
    </w:p>
    <w:p>
      <w:pPr>
        <w:pStyle w:val="Normal"/>
        <w:suppressAutoHyphens w:val="false"/>
        <w:spacing w:lineRule="exact" w:line="280"/>
        <w:rPr>
          <w:rFonts w:ascii="Times New Roman" w:hAnsi="Times New Roman" w:eastAsia="Times New Roman" w:cs="Arial"/>
          <w:sz w:val="22"/>
          <w:lang w:val="sr-CS"/>
        </w:rPr>
      </w:pPr>
      <w:r>
        <w:rPr>
          <w:rFonts w:eastAsia="Times New Roman" w:cs="Arial"/>
          <w:sz w:val="22"/>
          <w:lang w:val="sr-CS"/>
        </w:rPr>
      </w:r>
    </w:p>
    <w:p>
      <w:pPr>
        <w:pStyle w:val="Normal"/>
        <w:numPr>
          <w:ilvl w:val="0"/>
          <w:numId w:val="27"/>
        </w:numPr>
        <w:tabs>
          <w:tab w:val="clear" w:pos="720"/>
          <w:tab w:val="left" w:pos="540" w:leader="none"/>
        </w:tabs>
        <w:suppressAutoHyphens w:val="false"/>
        <w:overflowPunct w:val="false"/>
        <w:ind w:left="540" w:hanging="540"/>
        <w:textAlignment w:val="baseline"/>
        <w:rPr>
          <w:rFonts w:ascii="Times New Roman" w:hAnsi="Times New Roman"/>
        </w:rPr>
      </w:pPr>
      <w:r>
        <w:rPr>
          <w:rFonts w:eastAsia="Times New Roman"/>
          <w:b/>
          <w:i/>
          <w:iCs/>
          <w:sz w:val="22"/>
          <w:lang w:val="sr-CS"/>
        </w:rPr>
        <w:t>Паркирање и гаражирање возила</w:t>
      </w:r>
    </w:p>
    <w:p>
      <w:pPr>
        <w:pStyle w:val="Normal"/>
        <w:suppressAutoHyphens w:val="false"/>
        <w:rPr>
          <w:rFonts w:ascii="Times New Roman" w:hAnsi="Times New Roman"/>
        </w:rPr>
      </w:pPr>
      <w:r>
        <w:rPr>
          <w:i/>
          <w:iCs/>
          <w:sz w:val="22"/>
          <w:lang w:val="sr-CS"/>
        </w:rPr>
        <w:t>Паркирање и гаражирање возила је обавезно у оквиру сопствене грађевинске парцеле, изван површине јавног пута  у односу:</w:t>
      </w:r>
    </w:p>
    <w:p>
      <w:pPr>
        <w:pStyle w:val="Normal"/>
        <w:suppressAutoHyphens w:val="false"/>
        <w:rPr>
          <w:rFonts w:ascii="Times New Roman" w:hAnsi="Times New Roman" w:eastAsia="Times New Roman"/>
          <w:b/>
          <w:b/>
          <w:i/>
          <w:i/>
          <w:iCs/>
          <w:sz w:val="16"/>
          <w:szCs w:val="16"/>
          <w:lang w:val="sr-CS"/>
        </w:rPr>
      </w:pPr>
      <w:r>
        <w:rPr>
          <w:rFonts w:eastAsia="Times New Roman"/>
          <w:b/>
          <w:i/>
          <w:iCs/>
          <w:sz w:val="16"/>
          <w:szCs w:val="16"/>
          <w:lang w:val="sr-CS"/>
        </w:rPr>
      </w:r>
    </w:p>
    <w:p>
      <w:pPr>
        <w:pStyle w:val="Normal"/>
        <w:suppressAutoHyphens w:val="false"/>
        <w:rPr>
          <w:rFonts w:ascii="Times New Roman" w:hAnsi="Times New Roman"/>
        </w:rPr>
      </w:pPr>
      <w:r>
        <w:rPr>
          <w:rFonts w:eastAsia="Times New Roman"/>
          <w:b/>
          <w:i/>
          <w:iCs/>
          <w:sz w:val="22"/>
          <w:lang w:val="sr-CS"/>
        </w:rPr>
        <w:t>Табела бр:2</w:t>
      </w:r>
      <w:r>
        <w:rPr>
          <w:rFonts w:eastAsia="Times New Roman"/>
          <w:b/>
          <w:i/>
          <w:iCs/>
          <w:sz w:val="22"/>
          <w:lang w:val="sr-Latn-CS"/>
        </w:rPr>
        <w:t>3</w:t>
      </w:r>
      <w:r>
        <w:rPr>
          <w:rFonts w:eastAsia="Times New Roman"/>
          <w:i/>
          <w:iCs/>
          <w:sz w:val="22"/>
          <w:lang w:val="sr-CS"/>
        </w:rPr>
        <w:t>: Стандарди паркирања на нивоу зоне/целине</w:t>
      </w:r>
    </w:p>
    <w:tbl>
      <w:tblPr>
        <w:tblW w:w="514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72"/>
        <w:gridCol w:w="3467"/>
      </w:tblGrid>
      <w:tr>
        <w:trPr/>
        <w:tc>
          <w:tcPr>
            <w:tcW w:w="16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rFonts w:ascii="Times New Roman" w:hAnsi="Times New Roman" w:eastAsia="Times New Roman"/>
                <w:i/>
                <w:i/>
                <w:iCs/>
                <w:sz w:val="22"/>
                <w:lang w:val="sr-CS"/>
              </w:rPr>
            </w:pPr>
            <w:r>
              <w:rPr>
                <w:rFonts w:eastAsia="Times New Roman"/>
                <w:i/>
                <w:iCs/>
                <w:sz w:val="22"/>
                <w:lang w:val="sr-CS"/>
              </w:rPr>
              <w:t>намена</w:t>
            </w:r>
          </w:p>
        </w:tc>
        <w:tc>
          <w:tcPr>
            <w:tcW w:w="34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rFonts w:ascii="Times New Roman" w:hAnsi="Times New Roman" w:eastAsia="Times New Roman"/>
                <w:i/>
                <w:i/>
                <w:iCs/>
                <w:sz w:val="22"/>
              </w:rPr>
            </w:pPr>
            <w:r>
              <w:rPr>
                <w:rFonts w:eastAsia="Times New Roman"/>
                <w:i/>
                <w:iCs/>
                <w:sz w:val="22"/>
                <w:lang w:val="sr-CS"/>
              </w:rPr>
              <w:t>потребе корисника пм/1 000</w:t>
            </w:r>
            <w:r>
              <w:rPr>
                <w:rFonts w:eastAsia="Times New Roman"/>
                <w:i/>
                <w:iCs/>
                <w:sz w:val="22"/>
              </w:rPr>
              <w:t>m</w:t>
            </w:r>
            <w:r>
              <w:rPr>
                <w:rFonts w:eastAsia="Times New Roman"/>
                <w:i/>
                <w:iCs/>
                <w:sz w:val="22"/>
                <w:lang w:val="ru-RU"/>
              </w:rPr>
              <w:t>²</w:t>
            </w:r>
          </w:p>
          <w:p>
            <w:pPr>
              <w:pStyle w:val="Normal"/>
              <w:widowControl w:val="false"/>
              <w:suppressAutoHyphens w:val="false"/>
              <w:jc w:val="center"/>
              <w:rPr>
                <w:rFonts w:ascii="Times New Roman" w:hAnsi="Times New Roman" w:eastAsia="Times New Roman"/>
                <w:i/>
                <w:i/>
                <w:iCs/>
                <w:sz w:val="22"/>
                <w:lang w:val="sr-CS"/>
              </w:rPr>
            </w:pPr>
            <w:r>
              <w:rPr>
                <w:rFonts w:eastAsia="Times New Roman"/>
                <w:i/>
                <w:iCs/>
                <w:sz w:val="22"/>
                <w:lang w:val="sr-CS"/>
              </w:rPr>
              <w:t>корисне површине објеката</w:t>
            </w:r>
          </w:p>
        </w:tc>
      </w:tr>
      <w:tr>
        <w:trPr/>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rFonts w:ascii="Times New Roman" w:hAnsi="Times New Roman" w:eastAsia="Times New Roman"/>
                <w:i/>
                <w:i/>
                <w:iCs/>
                <w:sz w:val="22"/>
                <w:lang w:val="sr-CS"/>
              </w:rPr>
            </w:pPr>
            <w:r>
              <w:rPr>
                <w:rFonts w:eastAsia="Times New Roman"/>
                <w:i/>
                <w:iCs/>
                <w:sz w:val="22"/>
                <w:lang w:val="sr-CS"/>
              </w:rPr>
              <w:t>производња</w:t>
            </w:r>
          </w:p>
        </w:tc>
        <w:tc>
          <w:tcPr>
            <w:tcW w:w="34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rFonts w:ascii="Times New Roman" w:hAnsi="Times New Roman" w:eastAsia="Times New Roman"/>
                <w:i/>
                <w:i/>
                <w:iCs/>
                <w:sz w:val="22"/>
                <w:lang w:val="sr-CS"/>
              </w:rPr>
            </w:pPr>
            <w:r>
              <w:rPr>
                <w:rFonts w:eastAsia="Times New Roman"/>
                <w:i/>
                <w:iCs/>
                <w:sz w:val="22"/>
                <w:lang w:val="sr-CS"/>
              </w:rPr>
              <w:t>6</w:t>
            </w:r>
          </w:p>
        </w:tc>
      </w:tr>
      <w:tr>
        <w:trPr/>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rFonts w:ascii="Times New Roman" w:hAnsi="Times New Roman" w:eastAsia="Times New Roman"/>
                <w:i/>
                <w:i/>
                <w:iCs/>
                <w:sz w:val="22"/>
                <w:lang w:val="sr-CS"/>
              </w:rPr>
            </w:pPr>
            <w:r>
              <w:rPr>
                <w:rFonts w:eastAsia="Times New Roman"/>
                <w:i/>
                <w:iCs/>
                <w:sz w:val="22"/>
                <w:lang w:val="sr-CS"/>
              </w:rPr>
              <w:t>пословање</w:t>
            </w:r>
          </w:p>
        </w:tc>
        <w:tc>
          <w:tcPr>
            <w:tcW w:w="34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rFonts w:ascii="Times New Roman" w:hAnsi="Times New Roman" w:eastAsia="Times New Roman"/>
                <w:i/>
                <w:i/>
                <w:iCs/>
                <w:sz w:val="22"/>
                <w:lang w:val="sr-CS"/>
              </w:rPr>
            </w:pPr>
            <w:r>
              <w:rPr>
                <w:rFonts w:eastAsia="Times New Roman"/>
                <w:i/>
                <w:iCs/>
                <w:sz w:val="22"/>
                <w:lang w:val="sr-CS"/>
              </w:rPr>
              <w:t>14</w:t>
            </w:r>
          </w:p>
        </w:tc>
      </w:tr>
    </w:tbl>
    <w:p>
      <w:pPr>
        <w:pStyle w:val="Normal"/>
        <w:suppressAutoHyphens w:val="false"/>
        <w:rPr>
          <w:rFonts w:ascii="Times New Roman" w:hAnsi="Times New Roman"/>
        </w:rPr>
      </w:pPr>
      <w:r>
        <w:rPr>
          <w:rFonts w:eastAsia="Times New Roman"/>
          <w:i/>
          <w:iCs/>
          <w:sz w:val="22"/>
          <w:lang w:val="sr-CS"/>
        </w:rPr>
        <w:t>пм-паркинг место</w:t>
      </w:r>
    </w:p>
    <w:p>
      <w:pPr>
        <w:pStyle w:val="Normal"/>
        <w:suppressAutoHyphens w:val="false"/>
        <w:rPr>
          <w:rFonts w:ascii="Times New Roman" w:hAnsi="Times New Roman" w:eastAsia="Times New Roman"/>
          <w:i/>
          <w:i/>
          <w:iCs/>
          <w:sz w:val="22"/>
          <w:lang w:val="sr-CS"/>
        </w:rPr>
      </w:pPr>
      <w:r>
        <w:rPr>
          <w:rFonts w:eastAsia="Times New Roman"/>
          <w:i/>
          <w:iCs/>
          <w:sz w:val="22"/>
          <w:lang w:val="sr-CS"/>
        </w:rPr>
      </w:r>
    </w:p>
    <w:p>
      <w:pPr>
        <w:pStyle w:val="Normal"/>
        <w:suppressAutoHyphens w:val="false"/>
        <w:rPr>
          <w:rFonts w:ascii="Times New Roman" w:hAnsi="Times New Roman"/>
        </w:rPr>
      </w:pPr>
      <w:r>
        <w:rPr>
          <w:rFonts w:eastAsia="Times New Roman"/>
          <w:i/>
          <w:iCs/>
          <w:sz w:val="22"/>
          <w:lang w:val="sr-CS"/>
        </w:rPr>
        <w:t xml:space="preserve">Приступ парцели мора бити обезбеђен пролазом минималне ширине 3,5 </w:t>
      </w:r>
      <w:r>
        <w:rPr>
          <w:rFonts w:eastAsia="Times New Roman"/>
          <w:i/>
          <w:iCs/>
          <w:sz w:val="22"/>
        </w:rPr>
        <w:t>m</w:t>
      </w:r>
      <w:r>
        <w:rPr>
          <w:rFonts w:eastAsia="Times New Roman"/>
          <w:i/>
          <w:iCs/>
          <w:sz w:val="22"/>
          <w:lang w:val="sr-CS"/>
        </w:rPr>
        <w:t xml:space="preserve">, а уколико је прилазни пут дужи од 20 </w:t>
      </w:r>
      <w:r>
        <w:rPr>
          <w:rFonts w:eastAsia="Times New Roman"/>
          <w:i/>
          <w:iCs/>
          <w:sz w:val="22"/>
        </w:rPr>
        <w:t>m</w:t>
      </w:r>
      <w:r>
        <w:rPr>
          <w:rFonts w:eastAsia="Times New Roman"/>
          <w:i/>
          <w:iCs/>
          <w:sz w:val="22"/>
          <w:lang w:val="sr-CS"/>
        </w:rPr>
        <w:t xml:space="preserve"> пролаз мора бити минималне ширине од 5,0 </w:t>
      </w:r>
      <w:r>
        <w:rPr>
          <w:rFonts w:eastAsia="Times New Roman"/>
          <w:i/>
          <w:iCs/>
          <w:sz w:val="22"/>
        </w:rPr>
        <w:t>m</w:t>
      </w:r>
      <w:r>
        <w:rPr>
          <w:rFonts w:eastAsia="Times New Roman"/>
          <w:i/>
          <w:iCs/>
          <w:sz w:val="22"/>
          <w:lang w:val="sr-CS"/>
        </w:rPr>
        <w:t>.</w:t>
      </w:r>
    </w:p>
    <w:p>
      <w:pPr>
        <w:pStyle w:val="ListParagraph"/>
        <w:ind w:left="390" w:hanging="0"/>
        <w:rPr>
          <w:rFonts w:ascii="Times New Roman" w:hAnsi="Times New Roman"/>
          <w:lang w:val="sr-RS"/>
        </w:rPr>
      </w:pPr>
      <w:r>
        <w:rPr>
          <w:lang w:val="sr-RS"/>
        </w:rPr>
      </w:r>
    </w:p>
    <w:p>
      <w:pPr>
        <w:pStyle w:val="ListParagraph"/>
        <w:ind w:left="390" w:hanging="0"/>
        <w:rPr>
          <w:rFonts w:ascii="Times New Roman" w:hAnsi="Times New Roman"/>
          <w:lang w:val="sr-RS"/>
        </w:rPr>
      </w:pPr>
      <w:r>
        <w:rPr>
          <w:lang w:val="sr-RS"/>
        </w:rPr>
      </w:r>
    </w:p>
    <w:p>
      <w:pPr>
        <w:pStyle w:val="Normal"/>
        <w:tabs>
          <w:tab w:val="clear" w:pos="720"/>
          <w:tab w:val="left" w:pos="426" w:leader="none"/>
        </w:tabs>
        <w:spacing w:lineRule="auto" w:line="276"/>
        <w:ind w:left="720" w:hanging="0"/>
        <w:rPr/>
      </w:pPr>
      <w:r>
        <w:rPr>
          <w:rStyle w:val="FontStyle181"/>
          <w:b/>
          <w:sz w:val="24"/>
          <w:szCs w:val="24"/>
        </w:rPr>
        <w:t>6. Подлоге за израду плана</w:t>
      </w:r>
    </w:p>
    <w:p>
      <w:pPr>
        <w:pStyle w:val="Normal"/>
        <w:tabs>
          <w:tab w:val="clear" w:pos="720"/>
          <w:tab w:val="left" w:pos="426" w:leader="none"/>
        </w:tabs>
        <w:suppressAutoHyphens w:val="false"/>
        <w:rPr/>
      </w:pPr>
      <w:r>
        <w:rPr>
          <w:rStyle w:val="FontStyle181"/>
          <w:rFonts w:eastAsia="ArialMT"/>
          <w:i/>
          <w:iCs/>
          <w:sz w:val="24"/>
          <w:szCs w:val="24"/>
        </w:rPr>
        <w:tab/>
      </w:r>
      <w:r>
        <w:rPr>
          <w:rStyle w:val="FontStyle181"/>
          <w:rFonts w:eastAsia="ArialMT"/>
          <w:sz w:val="24"/>
          <w:szCs w:val="24"/>
        </w:rPr>
        <w:t xml:space="preserve">За израду </w:t>
      </w:r>
      <w:r>
        <w:rPr>
          <w:rFonts w:eastAsia="ArialMT"/>
          <w:szCs w:val="24"/>
        </w:rPr>
        <w:t xml:space="preserve">Плана се </w:t>
      </w:r>
      <w:r>
        <w:rPr>
          <w:rStyle w:val="FontStyle181"/>
          <w:rFonts w:eastAsia="ArialMT"/>
          <w:sz w:val="24"/>
          <w:szCs w:val="24"/>
        </w:rPr>
        <w:t xml:space="preserve">користи ажурна катастарско - топографска подлога у дигиталном облику Р=1:1000. </w:t>
      </w:r>
    </w:p>
    <w:p>
      <w:pPr>
        <w:pStyle w:val="Normal"/>
        <w:tabs>
          <w:tab w:val="clear" w:pos="720"/>
          <w:tab w:val="left" w:pos="426" w:leader="none"/>
        </w:tabs>
        <w:suppressAutoHyphens w:val="false"/>
        <w:rPr>
          <w:rFonts w:ascii="Times New Roman" w:hAnsi="Times New Roman"/>
          <w:color w:val="FF0000"/>
          <w:sz w:val="24"/>
          <w:szCs w:val="24"/>
        </w:rPr>
      </w:pPr>
      <w:r>
        <w:rPr>
          <w:color w:val="FF0000"/>
          <w:sz w:val="24"/>
          <w:szCs w:val="24"/>
        </w:rPr>
      </w:r>
    </w:p>
    <w:p>
      <w:pPr>
        <w:pStyle w:val="Normal"/>
        <w:tabs>
          <w:tab w:val="clear" w:pos="720"/>
          <w:tab w:val="left" w:pos="426" w:leader="none"/>
        </w:tabs>
        <w:suppressAutoHyphens w:val="false"/>
        <w:rPr>
          <w:rFonts w:ascii="Times New Roman" w:hAnsi="Times New Roman"/>
          <w:color w:val="FF0000"/>
          <w:sz w:val="24"/>
          <w:szCs w:val="24"/>
        </w:rPr>
      </w:pPr>
      <w:r>
        <w:rPr>
          <w:color w:val="FF0000"/>
          <w:sz w:val="24"/>
          <w:szCs w:val="24"/>
        </w:rPr>
      </w:r>
    </w:p>
    <w:p>
      <w:pPr>
        <w:pStyle w:val="Normal"/>
        <w:tabs>
          <w:tab w:val="clear" w:pos="720"/>
          <w:tab w:val="left" w:pos="426" w:leader="none"/>
        </w:tabs>
        <w:suppressAutoHyphens w:val="false"/>
        <w:rPr>
          <w:rFonts w:ascii="Times New Roman" w:hAnsi="Times New Roman"/>
          <w:color w:val="FF0000"/>
          <w:sz w:val="24"/>
          <w:szCs w:val="24"/>
        </w:rPr>
      </w:pPr>
      <w:r>
        <w:rPr>
          <w:color w:val="FF0000"/>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tabs>
          <w:tab w:val="clear" w:pos="720"/>
          <w:tab w:val="left" w:pos="426" w:leader="none"/>
        </w:tabs>
        <w:suppressAutoHyphens w:val="false"/>
        <w:rPr>
          <w:rFonts w:ascii="Times New Roman" w:hAnsi="Times New Roman"/>
          <w:sz w:val="24"/>
          <w:szCs w:val="24"/>
        </w:rPr>
      </w:pPr>
      <w:r>
        <w:rPr>
          <w:sz w:val="24"/>
          <w:szCs w:val="24"/>
        </w:rPr>
      </w:r>
    </w:p>
    <w:p>
      <w:pPr>
        <w:pStyle w:val="Normal"/>
        <w:jc w:val="left"/>
        <w:rPr>
          <w:rFonts w:ascii="Times New Roman" w:hAnsi="Times New Roman"/>
        </w:rPr>
      </w:pPr>
      <w:r>
        <w:rPr>
          <w:b/>
          <w:i/>
          <w:iCs/>
          <w:sz w:val="28"/>
          <w:szCs w:val="28"/>
        </w:rPr>
        <w:t xml:space="preserve">ПЛАНСКИ   ДЕО  </w:t>
      </w:r>
    </w:p>
    <w:p>
      <w:pPr>
        <w:pStyle w:val="Normal"/>
        <w:jc w:val="left"/>
        <w:rPr>
          <w:b/>
          <w:b/>
          <w:i/>
          <w:i/>
          <w:iCs/>
          <w:sz w:val="28"/>
          <w:szCs w:val="28"/>
        </w:rPr>
      </w:pPr>
      <w:r>
        <w:rPr>
          <w:b/>
          <w:i/>
          <w:iCs/>
          <w:sz w:val="28"/>
          <w:szCs w:val="28"/>
        </w:rPr>
      </w:r>
    </w:p>
    <w:p>
      <w:pPr>
        <w:pStyle w:val="Normal"/>
        <w:jc w:val="left"/>
        <w:rPr>
          <w:rFonts w:ascii="Times New Roman" w:hAnsi="Times New Roman"/>
        </w:rPr>
      </w:pPr>
      <w:r>
        <w:rPr>
          <w:b/>
          <w:i/>
          <w:iCs/>
          <w:sz w:val="28"/>
          <w:szCs w:val="28"/>
        </w:rPr>
        <w:t>II    ПРАВИЛА  УРЕЂЕЊА</w:t>
      </w:r>
    </w:p>
    <w:p>
      <w:pPr>
        <w:pStyle w:val="Normal"/>
        <w:tabs>
          <w:tab w:val="clear" w:pos="720"/>
          <w:tab w:val="left" w:pos="567" w:leader="none"/>
        </w:tabs>
        <w:suppressAutoHyphens w:val="false"/>
        <w:spacing w:lineRule="auto" w:line="276"/>
        <w:rPr>
          <w:rFonts w:ascii="Times New Roman" w:hAnsi="Times New Roman"/>
          <w:szCs w:val="24"/>
        </w:rPr>
      </w:pPr>
      <w:r>
        <w:rPr>
          <w:szCs w:val="24"/>
        </w:rPr>
      </w:r>
    </w:p>
    <w:p>
      <w:pPr>
        <w:pStyle w:val="Normal"/>
        <w:suppressAutoHyphens w:val="false"/>
        <w:ind w:firstLine="426"/>
        <w:rPr>
          <w:rFonts w:ascii="Times New Roman" w:hAnsi="Times New Roman"/>
        </w:rPr>
      </w:pPr>
      <w:r>
        <w:rPr>
          <w:rFonts w:eastAsia="Times"/>
          <w:szCs w:val="24"/>
        </w:rPr>
        <w:t xml:space="preserve">Граница планског подручја је </w:t>
      </w:r>
      <w:r>
        <w:rPr>
          <w:szCs w:val="24"/>
        </w:rPr>
        <w:t xml:space="preserve">у обухвату </w:t>
      </w:r>
      <w:r>
        <w:rPr>
          <w:szCs w:val="24"/>
          <w:lang w:val="sr-RS"/>
        </w:rPr>
        <w:t>Просторни план општине Ражањ</w:t>
      </w:r>
      <w:r>
        <w:rPr>
          <w:szCs w:val="24"/>
          <w:lang w:val="en-GB"/>
        </w:rPr>
        <w:t xml:space="preserve"> (,,Службени лист </w:t>
      </w:r>
      <w:r>
        <w:rPr>
          <w:szCs w:val="24"/>
          <w:lang w:val="sr-RS"/>
        </w:rPr>
        <w:t>општине Ражањ</w:t>
      </w:r>
      <w:r>
        <w:rPr>
          <w:szCs w:val="24"/>
          <w:lang w:val="en-GB"/>
        </w:rPr>
        <w:t xml:space="preserve">“ број </w:t>
      </w:r>
      <w:r>
        <w:rPr>
          <w:szCs w:val="24"/>
          <w:lang w:val="sr-RS"/>
        </w:rPr>
        <w:t>4</w:t>
      </w:r>
      <w:r>
        <w:rPr>
          <w:szCs w:val="24"/>
          <w:lang w:val="en-GB"/>
        </w:rPr>
        <w:t>/</w:t>
      </w:r>
      <w:r>
        <w:rPr>
          <w:szCs w:val="24"/>
          <w:lang w:val="sr-RS"/>
        </w:rPr>
        <w:t>20</w:t>
      </w:r>
      <w:r>
        <w:rPr>
          <w:szCs w:val="24"/>
          <w:lang w:val="en-GB"/>
        </w:rPr>
        <w:t>1</w:t>
      </w:r>
      <w:r>
        <w:rPr>
          <w:szCs w:val="24"/>
          <w:lang w:val="sr-RS"/>
        </w:rPr>
        <w:t>2, 1/2021 и 12/23</w:t>
      </w:r>
      <w:r>
        <w:rPr>
          <w:szCs w:val="24"/>
          <w:lang w:val="en-GB"/>
        </w:rPr>
        <w:t>)</w:t>
      </w:r>
      <w:r>
        <w:rPr>
          <w:szCs w:val="24"/>
          <w:lang w:val="sr-RS"/>
        </w:rPr>
        <w:t>.</w:t>
      </w:r>
    </w:p>
    <w:p>
      <w:pPr>
        <w:pStyle w:val="Normal"/>
        <w:tabs>
          <w:tab w:val="clear" w:pos="720"/>
          <w:tab w:val="left" w:pos="567" w:leader="none"/>
        </w:tabs>
        <w:suppressAutoHyphens w:val="false"/>
        <w:ind w:firstLine="426"/>
        <w:rPr>
          <w:rFonts w:ascii="Times New Roman" w:hAnsi="Times New Roman"/>
          <w:szCs w:val="24"/>
        </w:rPr>
      </w:pPr>
      <w:r>
        <w:rPr>
          <w:szCs w:val="24"/>
        </w:rPr>
      </w:r>
    </w:p>
    <w:p>
      <w:pPr>
        <w:pStyle w:val="Normal"/>
        <w:tabs>
          <w:tab w:val="clear" w:pos="720"/>
          <w:tab w:val="left" w:pos="567" w:leader="none"/>
        </w:tabs>
        <w:suppressAutoHyphens w:val="false"/>
        <w:ind w:firstLine="426"/>
        <w:rPr>
          <w:rFonts w:ascii="Times New Roman" w:hAnsi="Times New Roman"/>
        </w:rPr>
      </w:pPr>
      <w:r>
        <w:rPr>
          <w:b/>
          <w:bCs/>
          <w:szCs w:val="24"/>
        </w:rPr>
        <w:t>Цело планско подручје</w:t>
      </w:r>
      <w:r>
        <w:rPr>
          <w:szCs w:val="24"/>
          <w:lang w:val="en-GB"/>
        </w:rPr>
        <w:t xml:space="preserve"> </w:t>
      </w:r>
      <w:r>
        <w:rPr>
          <w:szCs w:val="24"/>
        </w:rPr>
        <w:t xml:space="preserve">за </w:t>
      </w: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 </w:t>
      </w:r>
      <w:r>
        <w:rPr>
          <w:b/>
          <w:bCs/>
          <w:szCs w:val="24"/>
        </w:rPr>
        <w:t xml:space="preserve"> је г</w:t>
      </w:r>
      <w:r>
        <w:rPr>
          <w:b/>
          <w:bCs/>
          <w:szCs w:val="24"/>
          <w:lang w:val="en-GB"/>
        </w:rPr>
        <w:t>рађевинск</w:t>
      </w:r>
      <w:r>
        <w:rPr>
          <w:b/>
          <w:bCs/>
          <w:szCs w:val="24"/>
        </w:rPr>
        <w:t xml:space="preserve">о </w:t>
      </w:r>
      <w:r>
        <w:rPr>
          <w:b/>
          <w:szCs w:val="24"/>
        </w:rPr>
        <w:t xml:space="preserve">земљиште јавне намене.  </w:t>
      </w:r>
    </w:p>
    <w:p>
      <w:pPr>
        <w:pStyle w:val="Normal"/>
        <w:tabs>
          <w:tab w:val="clear" w:pos="720"/>
          <w:tab w:val="left" w:pos="567" w:leader="none"/>
        </w:tabs>
        <w:suppressAutoHyphens w:val="false"/>
        <w:ind w:firstLine="426"/>
        <w:rPr>
          <w:rFonts w:ascii="Times New Roman" w:hAnsi="Times New Roman"/>
        </w:rPr>
      </w:pPr>
      <w:bookmarkStart w:id="26" w:name="_Hlk114573102"/>
      <w:r>
        <w:rPr>
          <w:szCs w:val="24"/>
        </w:rPr>
        <w:t>Г</w:t>
      </w:r>
      <w:r>
        <w:rPr>
          <w:szCs w:val="24"/>
          <w:lang w:val="en-GB"/>
        </w:rPr>
        <w:t>рађевинск</w:t>
      </w:r>
      <w:r>
        <w:rPr>
          <w:szCs w:val="24"/>
        </w:rPr>
        <w:t xml:space="preserve">о земљиште </w:t>
      </w:r>
      <w:bookmarkEnd w:id="26"/>
      <w:r>
        <w:rPr>
          <w:szCs w:val="24"/>
        </w:rPr>
        <w:t>јавне намене је подељено на три целине</w:t>
      </w:r>
      <w:r>
        <w:rPr>
          <w:szCs w:val="24"/>
          <w:lang w:val="sr-RS"/>
        </w:rPr>
        <w:t xml:space="preserve"> и део водотока Велика Река</w:t>
      </w:r>
      <w:r>
        <w:rPr>
          <w:szCs w:val="24"/>
        </w:rPr>
        <w:t xml:space="preserve">: </w:t>
      </w:r>
    </w:p>
    <w:p>
      <w:pPr>
        <w:pStyle w:val="Normal"/>
        <w:tabs>
          <w:tab w:val="clear" w:pos="720"/>
          <w:tab w:val="left" w:pos="567" w:leader="none"/>
        </w:tabs>
        <w:suppressAutoHyphens w:val="false"/>
        <w:ind w:firstLine="426"/>
        <w:rPr>
          <w:rFonts w:ascii="Times New Roman" w:hAnsi="Times New Roman"/>
        </w:rPr>
      </w:pPr>
      <w:r>
        <w:rPr>
          <w:szCs w:val="24"/>
        </w:rPr>
        <w:t xml:space="preserve">урбанистичка целина А - постројење за пречишћавање отпадних вода </w:t>
      </w:r>
    </w:p>
    <w:p>
      <w:pPr>
        <w:pStyle w:val="Normal"/>
        <w:tabs>
          <w:tab w:val="clear" w:pos="720"/>
          <w:tab w:val="left" w:pos="567" w:leader="none"/>
        </w:tabs>
        <w:suppressAutoHyphens w:val="false"/>
        <w:ind w:firstLine="426"/>
        <w:rPr>
          <w:rFonts w:ascii="Times New Roman" w:hAnsi="Times New Roman"/>
        </w:rPr>
      </w:pPr>
      <w:r>
        <w:rPr>
          <w:szCs w:val="24"/>
        </w:rPr>
        <w:t xml:space="preserve">урбанистичка целина Б - </w:t>
      </w:r>
      <w:bookmarkStart w:id="27" w:name="_Hlk128567483"/>
      <w:bookmarkEnd w:id="27"/>
      <w:r>
        <w:rPr>
          <w:szCs w:val="24"/>
          <w:lang w:val="sr-CS"/>
        </w:rPr>
        <w:t>планирана саобраћајница</w:t>
      </w:r>
    </w:p>
    <w:p>
      <w:pPr>
        <w:pStyle w:val="Normal"/>
        <w:tabs>
          <w:tab w:val="clear" w:pos="720"/>
          <w:tab w:val="left" w:pos="567" w:leader="none"/>
        </w:tabs>
        <w:suppressAutoHyphens w:val="false"/>
        <w:ind w:firstLine="426"/>
        <w:rPr>
          <w:rFonts w:ascii="Times New Roman" w:hAnsi="Times New Roman"/>
        </w:rPr>
      </w:pPr>
      <w:r>
        <w:rPr>
          <w:szCs w:val="24"/>
        </w:rPr>
        <w:t xml:space="preserve">урбанистичка целина В – </w:t>
      </w:r>
      <w:r>
        <w:rPr>
          <w:szCs w:val="24"/>
          <w:lang w:val="sr-RS"/>
        </w:rPr>
        <w:t>зелена површина</w:t>
      </w:r>
      <w:r>
        <w:rPr>
          <w:szCs w:val="24"/>
        </w:rPr>
        <w:t xml:space="preserve">  </w:t>
      </w:r>
    </w:p>
    <w:p>
      <w:pPr>
        <w:pStyle w:val="Normal"/>
        <w:tabs>
          <w:tab w:val="clear" w:pos="720"/>
          <w:tab w:val="left" w:pos="567" w:leader="none"/>
        </w:tabs>
        <w:suppressAutoHyphens w:val="false"/>
        <w:ind w:firstLine="426"/>
        <w:rPr>
          <w:rFonts w:ascii="Times New Roman" w:hAnsi="Times New Roman"/>
        </w:rPr>
      </w:pPr>
      <w:r>
        <w:rPr>
          <w:szCs w:val="24"/>
          <w:lang w:val="sr-RS"/>
        </w:rPr>
        <w:t xml:space="preserve">                                      </w:t>
      </w:r>
      <w:r>
        <w:rPr>
          <w:szCs w:val="24"/>
          <w:lang w:val="sr-RS"/>
        </w:rPr>
        <w:t>Г</w:t>
      </w:r>
      <w:r>
        <w:rPr>
          <w:szCs w:val="24"/>
        </w:rPr>
        <w:t xml:space="preserve"> – </w:t>
      </w:r>
      <w:r>
        <w:rPr>
          <w:szCs w:val="24"/>
          <w:lang w:val="sr-RS"/>
        </w:rPr>
        <w:t>водена површина – део реке Велика Река</w:t>
      </w:r>
    </w:p>
    <w:p>
      <w:pPr>
        <w:pStyle w:val="Normal"/>
        <w:tabs>
          <w:tab w:val="clear" w:pos="720"/>
          <w:tab w:val="left" w:pos="567" w:leader="none"/>
        </w:tabs>
        <w:suppressAutoHyphens w:val="false"/>
        <w:ind w:firstLine="426"/>
        <w:rPr>
          <w:rFonts w:ascii="Times New Roman" w:hAnsi="Times New Roman"/>
          <w:szCs w:val="24"/>
        </w:rPr>
      </w:pPr>
      <w:r>
        <w:rPr>
          <w:szCs w:val="24"/>
        </w:rPr>
      </w:r>
    </w:p>
    <w:p>
      <w:pPr>
        <w:pStyle w:val="Normal"/>
        <w:tabs>
          <w:tab w:val="clear" w:pos="720"/>
          <w:tab w:val="left" w:pos="567" w:leader="none"/>
        </w:tabs>
        <w:suppressAutoHyphens w:val="false"/>
        <w:ind w:firstLine="426"/>
        <w:rPr>
          <w:rFonts w:ascii="Times New Roman" w:hAnsi="Times New Roman"/>
          <w:szCs w:val="24"/>
        </w:rPr>
      </w:pPr>
      <w:r>
        <w:rPr>
          <w:szCs w:val="24"/>
        </w:rPr>
      </w:r>
    </w:p>
    <w:p>
      <w:pPr>
        <w:pStyle w:val="Normal"/>
        <w:widowControl w:val="false"/>
        <w:rPr>
          <w:rFonts w:ascii="Times New Roman" w:hAnsi="Times New Roman"/>
        </w:rPr>
      </w:pPr>
      <w:r>
        <w:rPr>
          <w:rFonts w:eastAsia="Times"/>
          <w:i/>
          <w:szCs w:val="24"/>
        </w:rPr>
        <w:t>Биланси  планиране  намене  површина</w:t>
      </w:r>
    </w:p>
    <w:tbl>
      <w:tblPr>
        <w:tblW w:w="10065" w:type="dxa"/>
        <w:jc w:val="left"/>
        <w:tblInd w:w="5" w:type="dxa"/>
        <w:tblLayout w:type="fixed"/>
        <w:tblCellMar>
          <w:top w:w="0" w:type="dxa"/>
          <w:left w:w="5" w:type="dxa"/>
          <w:bottom w:w="0" w:type="dxa"/>
          <w:right w:w="15" w:type="dxa"/>
        </w:tblCellMar>
        <w:tblLook w:firstRow="1" w:noVBand="1" w:lastRow="0" w:firstColumn="1" w:lastColumn="0" w:noHBand="0" w:val="04a0"/>
      </w:tblPr>
      <w:tblGrid>
        <w:gridCol w:w="6237"/>
        <w:gridCol w:w="1985"/>
        <w:gridCol w:w="1843"/>
      </w:tblGrid>
      <w:tr>
        <w:trPr>
          <w:trHeight w:val="439" w:hRule="exact"/>
        </w:trPr>
        <w:tc>
          <w:tcPr>
            <w:tcW w:w="6237" w:type="dxa"/>
            <w:tcBorders>
              <w:top w:val="single" w:sz="4" w:space="0" w:color="000000"/>
              <w:left w:val="single" w:sz="4" w:space="0" w:color="000000"/>
              <w:bottom w:val="single" w:sz="4" w:space="0" w:color="000000"/>
              <w:right w:val="single" w:sz="12" w:space="0" w:color="000000"/>
            </w:tcBorders>
            <w:shd w:color="auto" w:fill="EEECE1" w:val="clear"/>
            <w:vAlign w:val="center"/>
          </w:tcPr>
          <w:p>
            <w:pPr>
              <w:pStyle w:val="Normal"/>
              <w:widowControl w:val="false"/>
              <w:spacing w:before="9" w:after="0"/>
              <w:ind w:left="284" w:hanging="0"/>
              <w:jc w:val="left"/>
              <w:rPr>
                <w:rFonts w:ascii="Times New Roman" w:hAnsi="Times New Roman" w:eastAsia="Times New Roman"/>
                <w:b/>
                <w:b/>
                <w:bCs/>
                <w:sz w:val="20"/>
                <w:szCs w:val="20"/>
              </w:rPr>
            </w:pPr>
            <w:r>
              <w:rPr>
                <w:rFonts w:eastAsia="Times New Roman"/>
                <w:b/>
                <w:bCs/>
                <w:sz w:val="20"/>
                <w:szCs w:val="20"/>
              </w:rPr>
              <w:t>ПОВРШИНА ПЛАНА</w:t>
            </w:r>
          </w:p>
        </w:tc>
        <w:tc>
          <w:tcPr>
            <w:tcW w:w="1985" w:type="dxa"/>
            <w:tcBorders>
              <w:top w:val="single" w:sz="4" w:space="0" w:color="000000"/>
              <w:left w:val="single" w:sz="12" w:space="0" w:color="000000"/>
              <w:right w:val="single" w:sz="12" w:space="0" w:color="000000"/>
            </w:tcBorders>
            <w:shd w:color="auto" w:fill="EEECE1" w:val="clear"/>
            <w:vAlign w:val="center"/>
          </w:tcPr>
          <w:p>
            <w:pPr>
              <w:pStyle w:val="Normal"/>
              <w:widowControl w:val="false"/>
              <w:spacing w:before="9" w:after="0"/>
              <w:jc w:val="center"/>
              <w:rPr>
                <w:rFonts w:ascii="Times New Roman" w:hAnsi="Times New Roman"/>
              </w:rPr>
            </w:pPr>
            <w:r>
              <w:rPr>
                <w:lang w:val="ru-RU"/>
              </w:rPr>
              <w:t>ПДР</w:t>
            </w:r>
          </w:p>
        </w:tc>
        <w:tc>
          <w:tcPr>
            <w:tcW w:w="1843" w:type="dxa"/>
            <w:tcBorders>
              <w:top w:val="single" w:sz="4" w:space="0" w:color="000000"/>
              <w:left w:val="single" w:sz="12" w:space="0" w:color="000000"/>
              <w:right w:val="single" w:sz="4" w:space="0" w:color="000000"/>
            </w:tcBorders>
            <w:shd w:color="auto" w:fill="EEECE1" w:val="clear"/>
            <w:vAlign w:val="center"/>
          </w:tcPr>
          <w:p>
            <w:pPr>
              <w:pStyle w:val="Normal"/>
              <w:widowControl w:val="false"/>
              <w:spacing w:before="9" w:after="0"/>
              <w:jc w:val="center"/>
              <w:rPr>
                <w:rFonts w:ascii="Times New Roman" w:hAnsi="Times New Roman" w:eastAsia="Times New Roman"/>
                <w:b/>
                <w:b/>
                <w:bCs/>
                <w:szCs w:val="24"/>
              </w:rPr>
            </w:pPr>
            <w:r>
              <w:rPr>
                <w:rFonts w:eastAsia="Times New Roman"/>
                <w:b/>
                <w:bCs/>
                <w:szCs w:val="24"/>
              </w:rPr>
              <w:t>100%</w:t>
            </w:r>
          </w:p>
        </w:tc>
      </w:tr>
      <w:tr>
        <w:trPr>
          <w:trHeight w:val="392" w:hRule="exact"/>
        </w:trPr>
        <w:tc>
          <w:tcPr>
            <w:tcW w:w="6237" w:type="dxa"/>
            <w:tcBorders>
              <w:top w:val="single" w:sz="12" w:space="0" w:color="000000"/>
              <w:left w:val="single" w:sz="4" w:space="0" w:color="000000"/>
              <w:bottom w:val="single" w:sz="4" w:space="0" w:color="000000"/>
              <w:right w:val="single" w:sz="12" w:space="0" w:color="000000"/>
            </w:tcBorders>
            <w:shd w:color="auto" w:fill="F2F2F2" w:val="clear"/>
            <w:vAlign w:val="center"/>
          </w:tcPr>
          <w:p>
            <w:pPr>
              <w:pStyle w:val="Normal"/>
              <w:widowControl w:val="false"/>
              <w:ind w:left="284" w:hanging="0"/>
              <w:jc w:val="left"/>
              <w:rPr>
                <w:rFonts w:ascii="Times New Roman" w:hAnsi="Times New Roman" w:eastAsia="Times New Roman"/>
                <w:b/>
                <w:b/>
                <w:bCs/>
                <w:sz w:val="20"/>
                <w:szCs w:val="20"/>
              </w:rPr>
            </w:pPr>
            <w:r>
              <w:rPr>
                <w:rFonts w:eastAsia="Times New Roman"/>
                <w:b/>
                <w:bCs/>
                <w:sz w:val="20"/>
                <w:szCs w:val="20"/>
              </w:rPr>
              <w:t>I  ПОВРШИНЕ ЈАВНЕ НАМЕНЕ</w:t>
            </w:r>
          </w:p>
        </w:tc>
        <w:tc>
          <w:tcPr>
            <w:tcW w:w="1985" w:type="dxa"/>
            <w:tcBorders>
              <w:top w:val="single" w:sz="12" w:space="0" w:color="000000"/>
              <w:left w:val="single" w:sz="12" w:space="0" w:color="000000"/>
              <w:bottom w:val="single" w:sz="4" w:space="0" w:color="000000"/>
              <w:right w:val="single" w:sz="12" w:space="0" w:color="000000"/>
            </w:tcBorders>
            <w:shd w:color="auto" w:fill="F2F2F2" w:val="clear"/>
            <w:vAlign w:val="center"/>
          </w:tcPr>
          <w:p>
            <w:pPr>
              <w:pStyle w:val="Normal"/>
              <w:widowControl w:val="false"/>
              <w:jc w:val="center"/>
              <w:rPr>
                <w:rFonts w:ascii="Times New Roman" w:hAnsi="Times New Roman"/>
                <w:b/>
                <w:b/>
              </w:rPr>
            </w:pPr>
            <w:r>
              <w:rPr>
                <w:rFonts w:eastAsia="SimSun"/>
                <w:b/>
                <w:lang w:val="sr-RS"/>
              </w:rPr>
              <w:t xml:space="preserve">      </w:t>
            </w:r>
            <w:r>
              <w:rPr>
                <w:rFonts w:eastAsia="SimSun"/>
                <w:b/>
                <w:lang w:val="sr-RS"/>
              </w:rPr>
              <w:t>0</w:t>
            </w:r>
            <w:r>
              <w:rPr>
                <w:rFonts w:eastAsia="SimSun"/>
                <w:b/>
                <w:lang w:val="sr-Latn-RS"/>
              </w:rPr>
              <w:t>1</w:t>
            </w:r>
            <w:r>
              <w:rPr>
                <w:rFonts w:eastAsia="SimSun"/>
                <w:b/>
                <w:lang w:val="sr-RS"/>
              </w:rPr>
              <w:t xml:space="preserve"> </w:t>
            </w:r>
            <w:r>
              <w:rPr>
                <w:rFonts w:eastAsia="SimSun"/>
                <w:b/>
                <w:lang w:val="sr-Latn-RS"/>
              </w:rPr>
              <w:t>3</w:t>
            </w:r>
            <w:r>
              <w:rPr>
                <w:rFonts w:eastAsia="SimSun"/>
                <w:b/>
                <w:lang w:val="sr-RS"/>
              </w:rPr>
              <w:t>5 28</w:t>
            </w:r>
            <w:r>
              <w:rPr>
                <w:b/>
                <w:lang w:val="sr-Latn-RS"/>
              </w:rPr>
              <w:t xml:space="preserve"> m</w:t>
            </w:r>
            <w:r>
              <w:rPr>
                <w:b/>
                <w:spacing w:val="2"/>
                <w:vertAlign w:val="superscript"/>
                <w:lang w:val="sr-Latn-RS"/>
              </w:rPr>
              <w:t>2</w:t>
            </w:r>
          </w:p>
        </w:tc>
        <w:tc>
          <w:tcPr>
            <w:tcW w:w="1843" w:type="dxa"/>
            <w:tcBorders>
              <w:top w:val="single" w:sz="12" w:space="0" w:color="000000"/>
              <w:left w:val="single" w:sz="12" w:space="0" w:color="000000"/>
              <w:bottom w:val="single" w:sz="4" w:space="0" w:color="000000"/>
              <w:right w:val="single" w:sz="4" w:space="0" w:color="000000"/>
            </w:tcBorders>
            <w:shd w:color="auto" w:fill="F2F2F2" w:val="clear"/>
            <w:vAlign w:val="center"/>
          </w:tcPr>
          <w:p>
            <w:pPr>
              <w:pStyle w:val="Normal"/>
              <w:widowControl w:val="false"/>
              <w:jc w:val="center"/>
              <w:rPr>
                <w:rFonts w:ascii="Times New Roman" w:hAnsi="Times New Roman" w:eastAsia="Times New Roman"/>
                <w:b/>
                <w:b/>
                <w:bCs/>
                <w:szCs w:val="24"/>
              </w:rPr>
            </w:pPr>
            <w:r>
              <w:rPr>
                <w:rFonts w:eastAsia="Times New Roman"/>
                <w:b/>
                <w:bCs/>
                <w:szCs w:val="24"/>
              </w:rPr>
              <w:t>100%</w:t>
            </w:r>
          </w:p>
        </w:tc>
      </w:tr>
      <w:tr>
        <w:trPr>
          <w:trHeight w:val="327" w:hRule="exact"/>
        </w:trPr>
        <w:tc>
          <w:tcPr>
            <w:tcW w:w="6237"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ind w:left="284" w:hanging="0"/>
              <w:jc w:val="left"/>
              <w:rPr>
                <w:rFonts w:ascii="Times New Roman" w:hAnsi="Times New Roman" w:eastAsia="Times New Roman"/>
                <w:szCs w:val="24"/>
              </w:rPr>
            </w:pPr>
            <w:r>
              <w:rPr>
                <w:rFonts w:eastAsia="Times New Roman"/>
                <w:szCs w:val="24"/>
              </w:rPr>
              <w:t>А</w:t>
            </w:r>
            <w:r>
              <w:rPr>
                <w:rFonts w:eastAsia="Times New Roman"/>
                <w:szCs w:val="24"/>
                <w:lang w:val="sr-RS"/>
              </w:rPr>
              <w:t xml:space="preserve"> -</w:t>
            </w:r>
            <w:r>
              <w:rPr>
                <w:rFonts w:eastAsia="Times New Roman"/>
                <w:szCs w:val="24"/>
              </w:rPr>
              <w:t xml:space="preserve"> </w:t>
            </w:r>
            <w:r>
              <w:rPr>
                <w:rFonts w:eastAsia="Times New Roman"/>
                <w:szCs w:val="24"/>
                <w:lang w:val="sr-RS"/>
              </w:rPr>
              <w:t>п</w:t>
            </w:r>
            <w:r>
              <w:rPr>
                <w:rFonts w:eastAsia="Times New Roman"/>
                <w:szCs w:val="24"/>
              </w:rPr>
              <w:t xml:space="preserve">остројење за пречишћавање отпадних вода </w:t>
            </w:r>
            <w:r>
              <w:rPr>
                <w:rFonts w:eastAsia="Times New Roman"/>
                <w:szCs w:val="24"/>
                <w:lang w:val="sr-RS"/>
              </w:rPr>
              <w:t>(ппов)</w:t>
            </w:r>
          </w:p>
        </w:tc>
        <w:tc>
          <w:tcPr>
            <w:tcW w:w="1985" w:type="dxa"/>
            <w:tcBorders>
              <w:top w:val="single" w:sz="4" w:space="0" w:color="000000"/>
              <w:left w:val="single" w:sz="12" w:space="0" w:color="000000"/>
              <w:bottom w:val="single" w:sz="4" w:space="0" w:color="000000"/>
              <w:right w:val="single" w:sz="12" w:space="0" w:color="000000"/>
            </w:tcBorders>
            <w:shd w:color="auto" w:fill="auto" w:val="clear"/>
            <w:vAlign w:val="center"/>
          </w:tcPr>
          <w:p>
            <w:pPr>
              <w:pStyle w:val="Normal"/>
              <w:widowControl w:val="false"/>
              <w:jc w:val="center"/>
              <w:rPr>
                <w:rFonts w:ascii="Times New Roman" w:hAnsi="Times New Roman" w:eastAsia="Times New Roman"/>
                <w:szCs w:val="24"/>
              </w:rPr>
            </w:pPr>
            <w:r>
              <w:rPr>
                <w:rFonts w:eastAsia="Times New Roman"/>
                <w:szCs w:val="24"/>
              </w:rPr>
              <w:t>00 70 33</w:t>
            </w:r>
          </w:p>
        </w:tc>
        <w:tc>
          <w:tcPr>
            <w:tcW w:w="1843"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jc w:val="center"/>
              <w:rPr>
                <w:rFonts w:ascii="Times New Roman" w:hAnsi="Times New Roman" w:eastAsia="Times New Roman"/>
                <w:szCs w:val="24"/>
              </w:rPr>
            </w:pPr>
            <w:r>
              <w:rPr>
                <w:rFonts w:eastAsia="Times New Roman"/>
                <w:szCs w:val="24"/>
              </w:rPr>
              <w:t>52.00%</w:t>
            </w:r>
          </w:p>
        </w:tc>
      </w:tr>
      <w:tr>
        <w:trPr>
          <w:trHeight w:val="327" w:hRule="exact"/>
        </w:trPr>
        <w:tc>
          <w:tcPr>
            <w:tcW w:w="6237"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val="false"/>
              <w:ind w:left="284" w:hanging="0"/>
              <w:jc w:val="left"/>
              <w:rPr>
                <w:rFonts w:ascii="Times New Roman" w:hAnsi="Times New Roman" w:eastAsia="Times New Roman"/>
                <w:bCs/>
                <w:szCs w:val="24"/>
              </w:rPr>
            </w:pPr>
            <w:r>
              <w:rPr>
                <w:rFonts w:eastAsia="Times New Roman"/>
                <w:bCs/>
                <w:szCs w:val="24"/>
              </w:rPr>
              <w:t>Б</w:t>
            </w:r>
            <w:r>
              <w:rPr>
                <w:rFonts w:eastAsia="Times New Roman"/>
                <w:bCs/>
                <w:szCs w:val="24"/>
                <w:lang w:val="sr-RS"/>
              </w:rPr>
              <w:t xml:space="preserve"> –</w:t>
            </w:r>
            <w:r>
              <w:rPr>
                <w:rFonts w:eastAsia="Times New Roman"/>
                <w:bCs/>
                <w:szCs w:val="24"/>
              </w:rPr>
              <w:t xml:space="preserve"> </w:t>
            </w:r>
            <w:r>
              <w:rPr>
                <w:rFonts w:eastAsia="Times New Roman"/>
                <w:bCs/>
                <w:szCs w:val="24"/>
                <w:lang w:val="sr-RS"/>
              </w:rPr>
              <w:t xml:space="preserve"> пл</w:t>
            </w:r>
            <w:r>
              <w:rPr>
                <w:rFonts w:eastAsia="Times New Roman"/>
                <w:bCs/>
                <w:szCs w:val="24"/>
                <w:lang w:val="sr-CS"/>
              </w:rPr>
              <w:t>анирана саобраћајница</w:t>
            </w:r>
          </w:p>
        </w:tc>
        <w:tc>
          <w:tcPr>
            <w:tcW w:w="1985" w:type="dxa"/>
            <w:tcBorders>
              <w:top w:val="single" w:sz="4" w:space="0" w:color="000000"/>
              <w:left w:val="single" w:sz="12" w:space="0" w:color="000000"/>
              <w:bottom w:val="single" w:sz="4" w:space="0" w:color="000000"/>
              <w:right w:val="single" w:sz="12" w:space="0" w:color="000000"/>
            </w:tcBorders>
            <w:shd w:color="auto" w:fill="FFFFFF" w:val="clear"/>
            <w:vAlign w:val="center"/>
          </w:tcPr>
          <w:p>
            <w:pPr>
              <w:pStyle w:val="Normal"/>
              <w:widowControl w:val="false"/>
              <w:jc w:val="center"/>
              <w:rPr>
                <w:rFonts w:ascii="Times New Roman" w:hAnsi="Times New Roman" w:eastAsia="Times New Roman"/>
                <w:bCs/>
                <w:szCs w:val="24"/>
              </w:rPr>
            </w:pPr>
            <w:r>
              <w:rPr>
                <w:rFonts w:eastAsia="Times New Roman"/>
                <w:bCs/>
                <w:szCs w:val="24"/>
              </w:rPr>
              <w:t>00 30 78</w:t>
            </w:r>
          </w:p>
        </w:tc>
        <w:tc>
          <w:tcPr>
            <w:tcW w:w="1843"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val="false"/>
              <w:jc w:val="center"/>
              <w:rPr>
                <w:rFonts w:ascii="Times New Roman" w:hAnsi="Times New Roman" w:eastAsia="Times New Roman"/>
                <w:bCs/>
                <w:szCs w:val="24"/>
              </w:rPr>
            </w:pPr>
            <w:r>
              <w:rPr>
                <w:rFonts w:eastAsia="Times New Roman"/>
                <w:bCs/>
                <w:szCs w:val="24"/>
              </w:rPr>
              <w:t>22.75%</w:t>
            </w:r>
          </w:p>
        </w:tc>
      </w:tr>
      <w:tr>
        <w:trPr>
          <w:trHeight w:val="327" w:hRule="exact"/>
        </w:trPr>
        <w:tc>
          <w:tcPr>
            <w:tcW w:w="6237"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val="false"/>
              <w:ind w:left="284" w:hanging="0"/>
              <w:jc w:val="left"/>
              <w:rPr>
                <w:rFonts w:ascii="Times New Roman" w:hAnsi="Times New Roman"/>
                <w:szCs w:val="24"/>
                <w:lang w:val="sr-RS"/>
              </w:rPr>
            </w:pPr>
            <w:r>
              <w:rPr>
                <w:szCs w:val="24"/>
                <w:lang w:val="sr-RS"/>
              </w:rPr>
              <w:t>В – зелена површина - заштитно зеленило</w:t>
            </w:r>
          </w:p>
        </w:tc>
        <w:tc>
          <w:tcPr>
            <w:tcW w:w="1985" w:type="dxa"/>
            <w:tcBorders>
              <w:top w:val="single" w:sz="4" w:space="0" w:color="000000"/>
              <w:left w:val="single" w:sz="12" w:space="0" w:color="000000"/>
              <w:bottom w:val="single" w:sz="4" w:space="0" w:color="000000"/>
              <w:right w:val="single" w:sz="12" w:space="0" w:color="000000"/>
            </w:tcBorders>
            <w:shd w:color="auto" w:fill="FFFFFF" w:val="clear"/>
            <w:vAlign w:val="center"/>
          </w:tcPr>
          <w:p>
            <w:pPr>
              <w:pStyle w:val="Normal"/>
              <w:widowControl w:val="false"/>
              <w:jc w:val="center"/>
              <w:rPr>
                <w:rFonts w:ascii="Times New Roman" w:hAnsi="Times New Roman" w:eastAsia="Times New Roman"/>
                <w:bCs/>
                <w:szCs w:val="24"/>
              </w:rPr>
            </w:pPr>
            <w:r>
              <w:rPr>
                <w:rFonts w:eastAsia="Times New Roman"/>
                <w:bCs/>
                <w:szCs w:val="24"/>
              </w:rPr>
              <w:t>00 18 55</w:t>
            </w:r>
          </w:p>
        </w:tc>
        <w:tc>
          <w:tcPr>
            <w:tcW w:w="1843"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val="false"/>
              <w:jc w:val="center"/>
              <w:rPr>
                <w:rFonts w:ascii="Times New Roman" w:hAnsi="Times New Roman" w:eastAsia="Times New Roman"/>
                <w:bCs/>
                <w:szCs w:val="24"/>
              </w:rPr>
            </w:pPr>
            <w:r>
              <w:rPr>
                <w:rFonts w:eastAsia="Times New Roman"/>
                <w:bCs/>
                <w:szCs w:val="24"/>
              </w:rPr>
              <w:t>13.71%</w:t>
            </w:r>
          </w:p>
        </w:tc>
      </w:tr>
      <w:tr>
        <w:trPr>
          <w:trHeight w:val="327" w:hRule="exact"/>
        </w:trPr>
        <w:tc>
          <w:tcPr>
            <w:tcW w:w="6237"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val="false"/>
              <w:tabs>
                <w:tab w:val="clear" w:pos="720"/>
                <w:tab w:val="left" w:pos="567" w:leader="none"/>
              </w:tabs>
              <w:suppressAutoHyphens w:val="false"/>
              <w:rPr>
                <w:rFonts w:ascii="Times New Roman" w:hAnsi="Times New Roman"/>
                <w:szCs w:val="24"/>
              </w:rPr>
            </w:pPr>
            <w:r>
              <w:rPr>
                <w:szCs w:val="24"/>
                <w:lang w:val="sr-RS"/>
              </w:rPr>
              <w:t xml:space="preserve">     </w:t>
            </w:r>
            <w:bookmarkStart w:id="28" w:name="_Hlk152156332"/>
            <w:r>
              <w:rPr>
                <w:szCs w:val="24"/>
                <w:lang w:val="sr-RS"/>
              </w:rPr>
              <w:t>Г</w:t>
            </w:r>
            <w:r>
              <w:rPr>
                <w:szCs w:val="24"/>
              </w:rPr>
              <w:t xml:space="preserve"> – </w:t>
            </w:r>
            <w:r>
              <w:rPr>
                <w:szCs w:val="24"/>
                <w:lang w:val="sr-RS"/>
              </w:rPr>
              <w:t>водена површина - део реке Велика Река</w:t>
            </w:r>
            <w:bookmarkEnd w:id="28"/>
          </w:p>
          <w:p>
            <w:pPr>
              <w:pStyle w:val="Normal"/>
              <w:widowControl w:val="false"/>
              <w:tabs>
                <w:tab w:val="clear" w:pos="720"/>
                <w:tab w:val="left" w:pos="567" w:leader="none"/>
              </w:tabs>
              <w:suppressAutoHyphens w:val="false"/>
              <w:ind w:firstLine="426"/>
              <w:rPr>
                <w:rFonts w:ascii="Times New Roman" w:hAnsi="Times New Roman"/>
                <w:szCs w:val="24"/>
              </w:rPr>
            </w:pPr>
            <w:r>
              <w:rPr>
                <w:szCs w:val="24"/>
              </w:rPr>
            </w:r>
          </w:p>
          <w:p>
            <w:pPr>
              <w:pStyle w:val="Normal"/>
              <w:widowControl w:val="false"/>
              <w:ind w:left="284" w:hanging="0"/>
              <w:jc w:val="left"/>
              <w:rPr>
                <w:rFonts w:ascii="Times New Roman" w:hAnsi="Times New Roman"/>
                <w:szCs w:val="24"/>
              </w:rPr>
            </w:pPr>
            <w:r>
              <w:rPr>
                <w:szCs w:val="24"/>
              </w:rPr>
            </w:r>
          </w:p>
        </w:tc>
        <w:tc>
          <w:tcPr>
            <w:tcW w:w="1985" w:type="dxa"/>
            <w:tcBorders>
              <w:top w:val="single" w:sz="4" w:space="0" w:color="000000"/>
              <w:left w:val="single" w:sz="12" w:space="0" w:color="000000"/>
              <w:bottom w:val="single" w:sz="4" w:space="0" w:color="000000"/>
              <w:right w:val="single" w:sz="12" w:space="0" w:color="000000"/>
            </w:tcBorders>
            <w:shd w:color="auto" w:fill="FFFFFF" w:val="clear"/>
            <w:vAlign w:val="center"/>
          </w:tcPr>
          <w:p>
            <w:pPr>
              <w:pStyle w:val="Normal"/>
              <w:widowControl w:val="false"/>
              <w:jc w:val="center"/>
              <w:rPr>
                <w:rFonts w:ascii="Times New Roman" w:hAnsi="Times New Roman" w:eastAsia="Times New Roman"/>
                <w:bCs/>
                <w:szCs w:val="24"/>
                <w:lang w:val="sr-RS"/>
              </w:rPr>
            </w:pPr>
            <w:r>
              <w:rPr>
                <w:rFonts w:eastAsia="Times New Roman"/>
                <w:bCs/>
                <w:szCs w:val="24"/>
                <w:lang w:val="sr-RS"/>
              </w:rPr>
              <w:t>00 15 62</w:t>
            </w:r>
          </w:p>
        </w:tc>
        <w:tc>
          <w:tcPr>
            <w:tcW w:w="1843"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val="false"/>
              <w:jc w:val="center"/>
              <w:rPr>
                <w:rFonts w:ascii="Times New Roman" w:hAnsi="Times New Roman" w:eastAsia="Times New Roman"/>
                <w:bCs/>
                <w:szCs w:val="24"/>
                <w:lang w:val="sr-RS"/>
              </w:rPr>
            </w:pPr>
            <w:r>
              <w:rPr>
                <w:rFonts w:eastAsia="Times New Roman"/>
                <w:bCs/>
                <w:szCs w:val="24"/>
                <w:lang w:val="sr-RS"/>
              </w:rPr>
              <w:t>11,54%</w:t>
            </w:r>
          </w:p>
        </w:tc>
      </w:tr>
    </w:tbl>
    <w:p>
      <w:pPr>
        <w:pStyle w:val="Normal"/>
        <w:ind w:firstLine="567"/>
        <w:rPr>
          <w:rFonts w:ascii="Times New Roman" w:hAnsi="Times New Roman"/>
          <w:color w:val="00B0F0"/>
          <w:szCs w:val="24"/>
        </w:rPr>
      </w:pPr>
      <w:r>
        <w:rPr>
          <w:color w:val="00B0F0"/>
          <w:szCs w:val="24"/>
        </w:rPr>
      </w:r>
    </w:p>
    <w:p>
      <w:pPr>
        <w:pStyle w:val="Normal"/>
        <w:ind w:firstLine="567"/>
        <w:rPr>
          <w:rFonts w:ascii="Times New Roman" w:hAnsi="Times New Roman"/>
          <w:color w:val="00B0F0"/>
          <w:szCs w:val="24"/>
        </w:rPr>
      </w:pPr>
      <w:r>
        <w:rPr>
          <w:color w:val="00B0F0"/>
          <w:szCs w:val="24"/>
        </w:rPr>
      </w:r>
    </w:p>
    <w:p>
      <w:pPr>
        <w:pStyle w:val="Normal"/>
        <w:numPr>
          <w:ilvl w:val="0"/>
          <w:numId w:val="4"/>
        </w:numPr>
        <w:tabs>
          <w:tab w:val="clear" w:pos="720"/>
          <w:tab w:val="left" w:pos="426" w:leader="none"/>
        </w:tabs>
        <w:suppressAutoHyphens w:val="false"/>
        <w:ind w:left="0" w:hanging="0"/>
        <w:rPr>
          <w:rFonts w:ascii="Times New Roman" w:hAnsi="Times New Roman"/>
        </w:rPr>
      </w:pPr>
      <w:r>
        <w:rPr>
          <w:b/>
          <w:szCs w:val="24"/>
        </w:rPr>
        <w:t>Правила уређења за површине јавне намене</w:t>
      </w:r>
    </w:p>
    <w:p>
      <w:pPr>
        <w:pStyle w:val="Normal"/>
        <w:tabs>
          <w:tab w:val="clear" w:pos="720"/>
          <w:tab w:val="left" w:pos="426" w:leader="none"/>
        </w:tabs>
        <w:suppressAutoHyphens w:val="false"/>
        <w:rPr>
          <w:rFonts w:ascii="Times New Roman" w:hAnsi="Times New Roman"/>
          <w:b/>
          <w:b/>
          <w:color w:val="00B0F0"/>
          <w:szCs w:val="24"/>
        </w:rPr>
      </w:pPr>
      <w:r>
        <w:rPr>
          <w:b/>
          <w:color w:val="00B0F0"/>
          <w:szCs w:val="24"/>
        </w:rPr>
      </w:r>
    </w:p>
    <w:p>
      <w:pPr>
        <w:pStyle w:val="Normal"/>
        <w:tabs>
          <w:tab w:val="clear" w:pos="720"/>
          <w:tab w:val="left" w:pos="426" w:leader="none"/>
        </w:tabs>
        <w:suppressAutoHyphens w:val="false"/>
        <w:rPr>
          <w:rFonts w:ascii="Times New Roman" w:hAnsi="Times New Roman"/>
        </w:rPr>
      </w:pPr>
      <w:r>
        <w:rPr>
          <w:b/>
          <w:szCs w:val="24"/>
          <w:u w:val="single"/>
        </w:rPr>
        <w:t>А/ Постројење за пречишћавање отпадних вода (ППОВ)</w:t>
      </w:r>
    </w:p>
    <w:p>
      <w:pPr>
        <w:pStyle w:val="Normal"/>
        <w:suppressAutoHyphens w:val="false"/>
        <w:spacing w:before="0" w:after="0"/>
        <w:ind w:firstLine="426"/>
        <w:contextualSpacing/>
        <w:rPr>
          <w:rFonts w:ascii="Times New Roman" w:hAnsi="Times New Roman"/>
        </w:rPr>
      </w:pPr>
      <w:r>
        <w:rPr>
          <w:b/>
          <w:szCs w:val="24"/>
        </w:rPr>
        <w:t>Постројење за пречишћавање отпадних вода (</w:t>
      </w:r>
      <w:r>
        <w:rPr>
          <w:rFonts w:eastAsia="Calibri" w:eastAsiaTheme="minorHAnsi"/>
          <w:szCs w:val="24"/>
        </w:rPr>
        <w:t xml:space="preserve">ППОВ) капацитета </w:t>
      </w:r>
      <w:r>
        <w:rPr>
          <w:rFonts w:eastAsia="Calibri" w:eastAsiaTheme="minorHAnsi"/>
          <w:szCs w:val="24"/>
          <w:lang w:val="sr-RS"/>
        </w:rPr>
        <w:t>око</w:t>
      </w:r>
      <w:r>
        <w:rPr>
          <w:rFonts w:eastAsia="Calibri" w:eastAsiaTheme="minorHAnsi"/>
          <w:szCs w:val="24"/>
        </w:rPr>
        <w:t xml:space="preserve"> </w:t>
      </w:r>
      <w:r>
        <w:rPr>
          <w:rFonts w:eastAsia="Calibri" w:eastAsiaTheme="minorHAnsi"/>
          <w:szCs w:val="24"/>
          <w:lang w:val="sr-RS"/>
        </w:rPr>
        <w:t>13</w:t>
      </w:r>
      <w:r>
        <w:rPr>
          <w:rFonts w:eastAsia="Calibri" w:eastAsiaTheme="minorHAnsi"/>
          <w:szCs w:val="24"/>
        </w:rPr>
        <w:t>00E</w:t>
      </w:r>
      <w:r>
        <w:rPr>
          <w:rFonts w:eastAsia="Calibri" w:cs="Times New Roman" w:eastAsiaTheme="minorHAnsi"/>
          <w:color w:val="auto"/>
          <w:kern w:val="0"/>
          <w:sz w:val="24"/>
          <w:szCs w:val="24"/>
          <w:lang w:val="sr-RS" w:eastAsia="en-US" w:bidi="ar-SA"/>
        </w:rPr>
        <w:t>С</w:t>
      </w:r>
      <w:r>
        <w:rPr>
          <w:rFonts w:eastAsia="Calibri" w:eastAsiaTheme="minorHAnsi"/>
          <w:szCs w:val="24"/>
        </w:rPr>
        <w:t>.</w:t>
      </w:r>
    </w:p>
    <w:p>
      <w:pPr>
        <w:pStyle w:val="Normal"/>
        <w:suppressAutoHyphens w:val="false"/>
        <w:rPr>
          <w:rFonts w:ascii="Times New Roman" w:hAnsi="Times New Roman"/>
        </w:rPr>
      </w:pPr>
      <w:r>
        <w:rPr>
          <w:szCs w:val="24"/>
        </w:rPr>
        <w:t xml:space="preserve">Локација постројења за пречишћавање отпадних вода је </w:t>
      </w:r>
      <w:r>
        <w:rPr>
          <w:szCs w:val="24"/>
          <w:lang w:val="sr-RS"/>
        </w:rPr>
        <w:t>предложена</w:t>
      </w:r>
      <w:r>
        <w:rPr>
          <w:szCs w:val="24"/>
        </w:rPr>
        <w:t xml:space="preserve"> планским документом вишег реда: </w:t>
      </w:r>
      <w:r>
        <w:rPr>
          <w:szCs w:val="24"/>
          <w:lang w:val="sr-RS"/>
        </w:rPr>
        <w:t>Просторни план општине Ражањ</w:t>
      </w:r>
      <w:r>
        <w:rPr>
          <w:szCs w:val="24"/>
          <w:lang w:val="en-GB"/>
        </w:rPr>
        <w:t xml:space="preserve"> (,,Службени лист </w:t>
      </w:r>
      <w:r>
        <w:rPr>
          <w:szCs w:val="24"/>
          <w:lang w:val="sr-RS"/>
        </w:rPr>
        <w:t>општине Ражањ</w:t>
      </w:r>
      <w:r>
        <w:rPr>
          <w:szCs w:val="24"/>
          <w:lang w:val="en-GB"/>
        </w:rPr>
        <w:t xml:space="preserve">“ број </w:t>
      </w:r>
      <w:r>
        <w:rPr>
          <w:szCs w:val="24"/>
          <w:lang w:val="sr-RS"/>
        </w:rPr>
        <w:t>4</w:t>
      </w:r>
      <w:r>
        <w:rPr>
          <w:szCs w:val="24"/>
          <w:lang w:val="en-GB"/>
        </w:rPr>
        <w:t>/</w:t>
      </w:r>
      <w:r>
        <w:rPr>
          <w:szCs w:val="24"/>
          <w:lang w:val="sr-RS"/>
        </w:rPr>
        <w:t>20</w:t>
      </w:r>
      <w:r>
        <w:rPr>
          <w:szCs w:val="24"/>
          <w:lang w:val="en-GB"/>
        </w:rPr>
        <w:t>1</w:t>
      </w:r>
      <w:r>
        <w:rPr>
          <w:szCs w:val="24"/>
          <w:lang w:val="sr-RS"/>
        </w:rPr>
        <w:t>2,  1/2021 и 12/23</w:t>
      </w:r>
      <w:r>
        <w:rPr>
          <w:szCs w:val="24"/>
          <w:lang w:val="en-GB"/>
        </w:rPr>
        <w:t>)</w:t>
      </w:r>
      <w:r>
        <w:rPr>
          <w:szCs w:val="24"/>
        </w:rPr>
        <w:t>.</w:t>
      </w:r>
    </w:p>
    <w:p>
      <w:pPr>
        <w:pStyle w:val="ListParagraph"/>
        <w:ind w:left="0" w:firstLine="426"/>
        <w:rPr>
          <w:rFonts w:ascii="Times New Roman" w:hAnsi="Times New Roman"/>
        </w:rPr>
      </w:pPr>
      <w:r>
        <w:rPr/>
        <w:t xml:space="preserve">Грађевинска парцела за ППОВ се формира од следећих катастарских парцела: целе – бр. </w:t>
      </w:r>
      <w:r>
        <w:rPr>
          <w:lang w:val="sr-RS"/>
        </w:rPr>
        <w:t xml:space="preserve">5231, 5233 </w:t>
      </w:r>
      <w:r>
        <w:rPr/>
        <w:t xml:space="preserve"> и  делова</w:t>
      </w:r>
      <w:r>
        <w:rPr>
          <w:lang w:val="sr-RS"/>
        </w:rPr>
        <w:t xml:space="preserve"> бр.</w:t>
      </w:r>
      <w:r>
        <w:rPr/>
        <w:t xml:space="preserve"> </w:t>
      </w:r>
      <w:r>
        <w:rPr>
          <w:lang w:val="sr-RS"/>
        </w:rPr>
        <w:t xml:space="preserve">5232, 5234, 5230/2 и 5230/1 </w:t>
      </w:r>
      <w:r>
        <w:rPr/>
        <w:t xml:space="preserve">КО </w:t>
      </w:r>
      <w:r>
        <w:rPr>
          <w:lang w:val="sr-RS"/>
        </w:rPr>
        <w:t>Витошевац</w:t>
      </w:r>
      <w:r>
        <w:rPr/>
        <w:t>.</w:t>
      </w:r>
      <w:r>
        <w:rPr>
          <w:lang w:val="sr-RS"/>
        </w:rPr>
        <w:t xml:space="preserve"> </w:t>
      </w:r>
    </w:p>
    <w:p>
      <w:pPr>
        <w:pStyle w:val="Normal"/>
        <w:suppressAutoHyphens w:val="false"/>
        <w:ind w:firstLine="567"/>
        <w:rPr>
          <w:rFonts w:ascii="Times New Roman" w:hAnsi="Times New Roman"/>
          <w:szCs w:val="24"/>
          <w:lang w:val="sr-RS"/>
        </w:rPr>
      </w:pPr>
      <w:r>
        <w:rPr>
          <w:szCs w:val="24"/>
          <w:lang w:val="sr-RS"/>
        </w:rPr>
      </w:r>
    </w:p>
    <w:p>
      <w:pPr>
        <w:pStyle w:val="Normal"/>
        <w:suppressAutoHyphens w:val="false"/>
        <w:ind w:firstLine="567"/>
        <w:rPr>
          <w:rFonts w:ascii="Times New Roman" w:hAnsi="Times New Roman"/>
        </w:rPr>
      </w:pPr>
      <w:r>
        <w:rPr>
          <w:szCs w:val="24"/>
          <w:lang w:val="sr-RS"/>
        </w:rPr>
        <w:t xml:space="preserve">У оквиру комплекса предвидети неопходне манипулативне површине, тротоаре и зеленило (заштитно и декоративно). Систем евакуације отпадних вода решава се сепаратним системом што подразумева потпуно одвојене и међусобно независне канализационе системе за употребљене воде и атмосферске воде. </w:t>
      </w:r>
    </w:p>
    <w:p>
      <w:pPr>
        <w:pStyle w:val="Normal"/>
        <w:suppressAutoHyphens w:val="false"/>
        <w:rPr>
          <w:rFonts w:ascii="Times New Roman" w:hAnsi="Times New Roman"/>
        </w:rPr>
      </w:pPr>
      <w:r>
        <w:rPr>
          <w:szCs w:val="24"/>
          <w:lang w:val="sr-RS"/>
        </w:rPr>
        <w:t>Систем каналисања потребно је да са једне стране обезбеди хигијенско и санитарно исправне услове, а са друге стране адекватну и законом захтевану заштиту и очување животне средине.</w:t>
      </w:r>
    </w:p>
    <w:p>
      <w:pPr>
        <w:pStyle w:val="Normal"/>
        <w:suppressAutoHyphens w:val="false"/>
        <w:ind w:firstLine="720"/>
        <w:rPr>
          <w:rFonts w:ascii="Times New Roman" w:hAnsi="Times New Roman"/>
        </w:rPr>
      </w:pPr>
      <w:r>
        <w:rPr>
          <w:bCs/>
          <w:szCs w:val="24"/>
          <w:lang w:val="ru-RU"/>
        </w:rPr>
        <w:t xml:space="preserve">Планско постројење треба да садржи следеће фазе у процесу пречишћавања сакупљених употребљених вода: </w:t>
      </w:r>
    </w:p>
    <w:p>
      <w:pPr>
        <w:pStyle w:val="Normal"/>
        <w:suppressAutoHyphens w:val="false"/>
        <w:rPr>
          <w:rFonts w:ascii="Times New Roman" w:hAnsi="Times New Roman"/>
        </w:rPr>
      </w:pPr>
      <w:r>
        <w:rPr>
          <w:bCs/>
          <w:szCs w:val="24"/>
          <w:lang w:val="ru-RU"/>
        </w:rPr>
        <w:t>1) Механичко пречишћавање,</w:t>
      </w:r>
    </w:p>
    <w:p>
      <w:pPr>
        <w:pStyle w:val="Normal"/>
        <w:suppressAutoHyphens w:val="false"/>
        <w:rPr>
          <w:rFonts w:ascii="Times New Roman" w:hAnsi="Times New Roman"/>
        </w:rPr>
      </w:pPr>
      <w:r>
        <w:rPr>
          <w:bCs/>
          <w:szCs w:val="24"/>
          <w:lang w:val="ru-RU"/>
        </w:rPr>
        <w:t>2) Биолошко пречишћавање са две подфазе: биоаерација и таложење,</w:t>
      </w:r>
    </w:p>
    <w:p>
      <w:pPr>
        <w:pStyle w:val="Normal"/>
        <w:suppressAutoHyphens w:val="false"/>
        <w:rPr>
          <w:rFonts w:ascii="Times New Roman" w:hAnsi="Times New Roman"/>
        </w:rPr>
      </w:pPr>
      <w:r>
        <w:rPr>
          <w:bCs/>
          <w:szCs w:val="24"/>
          <w:lang w:val="ru-RU"/>
        </w:rPr>
        <w:t>3) Дезинфекција пречишћене воде;</w:t>
      </w:r>
    </w:p>
    <w:p>
      <w:pPr>
        <w:pStyle w:val="Normal"/>
        <w:suppressAutoHyphens w:val="false"/>
        <w:rPr>
          <w:rFonts w:ascii="Times New Roman" w:hAnsi="Times New Roman"/>
        </w:rPr>
      </w:pPr>
      <w:r>
        <w:rPr>
          <w:bCs/>
          <w:szCs w:val="24"/>
          <w:lang w:val="ru-RU"/>
        </w:rPr>
        <w:t>4) Третман муља.</w:t>
      </w:r>
    </w:p>
    <w:p>
      <w:pPr>
        <w:pStyle w:val="Normal"/>
        <w:suppressAutoHyphens w:val="false"/>
        <w:rPr>
          <w:rFonts w:ascii="Times New Roman" w:hAnsi="Times New Roman"/>
          <w:bCs/>
          <w:szCs w:val="24"/>
          <w:lang w:val="ru-RU"/>
        </w:rPr>
      </w:pPr>
      <w:r>
        <w:rPr>
          <w:bCs/>
          <w:szCs w:val="24"/>
          <w:lang w:val="ru-RU"/>
        </w:rPr>
      </w:r>
    </w:p>
    <w:p>
      <w:pPr>
        <w:pStyle w:val="Normal"/>
        <w:ind w:firstLine="360"/>
        <w:rPr>
          <w:rFonts w:ascii="Times New Roman" w:hAnsi="Times New Roman"/>
        </w:rPr>
      </w:pPr>
      <w:r>
        <w:rPr>
          <w:color w:val="000000"/>
          <w:lang w:val="sr-Latn-RS"/>
        </w:rPr>
        <w:t>У оквиру комплекса ППОВ треба предвидети следеће објекте:</w:t>
      </w:r>
    </w:p>
    <w:p>
      <w:pPr>
        <w:pStyle w:val="Normal"/>
        <w:numPr>
          <w:ilvl w:val="0"/>
          <w:numId w:val="30"/>
        </w:numPr>
        <w:suppressAutoHyphens w:val="false"/>
        <w:rPr>
          <w:rFonts w:ascii="Times New Roman" w:hAnsi="Times New Roman"/>
        </w:rPr>
      </w:pPr>
      <w:r>
        <w:rPr>
          <w:color w:val="000000"/>
          <w:lang w:val="sr-Latn-RS"/>
        </w:rPr>
        <w:t>техничке просторије (за третман муља и просторија за компресоре)</w:t>
      </w:r>
    </w:p>
    <w:p>
      <w:pPr>
        <w:pStyle w:val="Normal"/>
        <w:numPr>
          <w:ilvl w:val="0"/>
          <w:numId w:val="30"/>
        </w:numPr>
        <w:suppressAutoHyphens w:val="false"/>
        <w:rPr>
          <w:rFonts w:ascii="Times New Roman" w:hAnsi="Times New Roman"/>
        </w:rPr>
      </w:pPr>
      <w:r>
        <w:rPr>
          <w:color w:val="000000"/>
          <w:lang w:val="sr-Latn-RS"/>
        </w:rPr>
        <w:t>црпна станица</w:t>
      </w:r>
    </w:p>
    <w:p>
      <w:pPr>
        <w:pStyle w:val="Normal"/>
        <w:numPr>
          <w:ilvl w:val="0"/>
          <w:numId w:val="30"/>
        </w:numPr>
        <w:suppressAutoHyphens w:val="false"/>
        <w:rPr>
          <w:rFonts w:ascii="Times New Roman" w:hAnsi="Times New Roman"/>
        </w:rPr>
      </w:pPr>
      <w:r>
        <w:rPr>
          <w:color w:val="000000"/>
          <w:lang w:val="sr-Latn-RS"/>
        </w:rPr>
        <w:t>станица за пријем отпадних вода из септичких јама</w:t>
      </w:r>
    </w:p>
    <w:p>
      <w:pPr>
        <w:pStyle w:val="Normal"/>
        <w:numPr>
          <w:ilvl w:val="0"/>
          <w:numId w:val="30"/>
        </w:numPr>
        <w:suppressAutoHyphens w:val="false"/>
        <w:rPr>
          <w:rFonts w:ascii="Times New Roman" w:hAnsi="Times New Roman"/>
        </w:rPr>
      </w:pPr>
      <w:r>
        <w:rPr>
          <w:color w:val="000000"/>
          <w:lang w:val="sr-Latn-RS"/>
        </w:rPr>
        <w:t>компактно постројење за механички предтретман</w:t>
      </w:r>
    </w:p>
    <w:p>
      <w:pPr>
        <w:pStyle w:val="Normal"/>
        <w:numPr>
          <w:ilvl w:val="0"/>
          <w:numId w:val="30"/>
        </w:numPr>
        <w:suppressAutoHyphens w:val="false"/>
        <w:rPr>
          <w:rFonts w:ascii="Times New Roman" w:hAnsi="Times New Roman"/>
        </w:rPr>
      </w:pPr>
      <w:r>
        <w:rPr>
          <w:color w:val="000000"/>
          <w:lang w:val="sr-Latn-RS"/>
        </w:rPr>
        <w:t>разделни објекат</w:t>
      </w:r>
    </w:p>
    <w:p>
      <w:pPr>
        <w:pStyle w:val="Normal"/>
        <w:numPr>
          <w:ilvl w:val="0"/>
          <w:numId w:val="30"/>
        </w:numPr>
        <w:suppressAutoHyphens w:val="false"/>
        <w:rPr>
          <w:rFonts w:ascii="Times New Roman" w:hAnsi="Times New Roman"/>
        </w:rPr>
      </w:pPr>
      <w:r>
        <w:rPr>
          <w:color w:val="000000"/>
          <w:lang w:val="sr-Latn-RS"/>
        </w:rPr>
        <w:t>објекат за биолошко пречишћавање отпадних вода</w:t>
      </w:r>
    </w:p>
    <w:p>
      <w:pPr>
        <w:pStyle w:val="Normal"/>
        <w:numPr>
          <w:ilvl w:val="0"/>
          <w:numId w:val="30"/>
        </w:numPr>
        <w:suppressAutoHyphens w:val="false"/>
        <w:rPr>
          <w:rFonts w:ascii="Times New Roman" w:hAnsi="Times New Roman"/>
        </w:rPr>
      </w:pPr>
      <w:r>
        <w:rPr>
          <w:color w:val="000000"/>
          <w:lang w:val="sr-Latn-RS"/>
        </w:rPr>
        <w:t>накнадни таложници</w:t>
      </w:r>
    </w:p>
    <w:p>
      <w:pPr>
        <w:pStyle w:val="Normal"/>
        <w:numPr>
          <w:ilvl w:val="0"/>
          <w:numId w:val="30"/>
        </w:numPr>
        <w:suppressAutoHyphens w:val="false"/>
        <w:rPr>
          <w:rFonts w:ascii="Times New Roman" w:hAnsi="Times New Roman"/>
        </w:rPr>
      </w:pPr>
      <w:r>
        <w:rPr>
          <w:color w:val="000000"/>
          <w:lang w:val="sr-Latn-RS"/>
        </w:rPr>
        <w:t>резервоар за муљ</w:t>
      </w:r>
    </w:p>
    <w:p>
      <w:pPr>
        <w:pStyle w:val="Normal"/>
        <w:numPr>
          <w:ilvl w:val="0"/>
          <w:numId w:val="30"/>
        </w:numPr>
        <w:suppressAutoHyphens w:val="false"/>
        <w:rPr>
          <w:rFonts w:ascii="Times New Roman" w:hAnsi="Times New Roman"/>
        </w:rPr>
      </w:pPr>
      <w:r>
        <w:rPr>
          <w:color w:val="000000"/>
          <w:lang w:val="sr-Latn-RS"/>
        </w:rPr>
        <w:t>шахтови</w:t>
      </w:r>
    </w:p>
    <w:p>
      <w:pPr>
        <w:pStyle w:val="Normal"/>
        <w:numPr>
          <w:ilvl w:val="0"/>
          <w:numId w:val="30"/>
        </w:numPr>
        <w:suppressAutoHyphens w:val="false"/>
        <w:rPr>
          <w:rFonts w:ascii="Times New Roman" w:hAnsi="Times New Roman"/>
        </w:rPr>
      </w:pPr>
      <w:r>
        <w:rPr>
          <w:color w:val="000000"/>
          <w:lang w:val="sr-Latn-RS"/>
        </w:rPr>
        <w:t>мерачи протока за пречишћену воду и бајпас,</w:t>
      </w:r>
    </w:p>
    <w:p>
      <w:pPr>
        <w:pStyle w:val="Normal"/>
        <w:ind w:left="720" w:hanging="0"/>
        <w:rPr>
          <w:rFonts w:ascii="Times New Roman" w:hAnsi="Times New Roman"/>
        </w:rPr>
      </w:pPr>
      <w:r>
        <w:rPr>
          <w:i/>
          <w:iCs/>
          <w:color w:val="000000"/>
          <w:szCs w:val="24"/>
          <w:lang w:val="sr-Latn-RS"/>
        </w:rPr>
        <w:t>Технологија и тип постројења за пречишћавање отпадних вода одредиће се пројектно</w:t>
      </w:r>
      <w:r>
        <w:rPr>
          <w:i/>
          <w:iCs/>
          <w:color w:val="000000"/>
          <w:szCs w:val="24"/>
          <w:lang w:val="sr-RS"/>
        </w:rPr>
        <w:t>-</w:t>
      </w:r>
      <w:r>
        <w:rPr>
          <w:i/>
          <w:iCs/>
          <w:color w:val="000000"/>
          <w:szCs w:val="24"/>
          <w:lang w:val="sr-Latn-RS"/>
        </w:rPr>
        <w:t xml:space="preserve"> техничком документацијом имајући у виду величину насеља, карактер отпадних вода</w:t>
      </w:r>
      <w:r>
        <w:rPr>
          <w:i/>
          <w:iCs/>
          <w:color w:val="000000"/>
          <w:szCs w:val="24"/>
          <w:lang w:val="sr-RS"/>
        </w:rPr>
        <w:t>,</w:t>
      </w:r>
      <w:r>
        <w:rPr>
          <w:i/>
          <w:iCs/>
          <w:color w:val="000000"/>
          <w:szCs w:val="24"/>
          <w:lang w:val="sr-Latn-RS"/>
        </w:rPr>
        <w:t xml:space="preserve"> топографију терена и климатске услове као и динамику настајања отпадних вода.</w:t>
      </w:r>
    </w:p>
    <w:p>
      <w:pPr>
        <w:pStyle w:val="Normal"/>
        <w:suppressAutoHyphens w:val="false"/>
        <w:ind w:left="720" w:hanging="0"/>
        <w:rPr>
          <w:rFonts w:ascii="Times New Roman" w:hAnsi="Times New Roman"/>
        </w:rPr>
      </w:pPr>
      <w:r>
        <w:rPr>
          <w:i/>
          <w:iCs/>
          <w:szCs w:val="24"/>
          <w:lang w:val="sr-RS"/>
        </w:rPr>
        <w:t>Концепција постројења да се заснива на савремене и рационалне технологије уз сагледавање утицаја посебних загађивача на њихов рад и да се ослања на искуства и правила Европске уније.</w:t>
      </w:r>
    </w:p>
    <w:p>
      <w:pPr>
        <w:pStyle w:val="Normal"/>
        <w:suppressAutoHyphens w:val="false"/>
        <w:rPr>
          <w:rFonts w:ascii="Times New Roman" w:hAnsi="Times New Roman"/>
        </w:rPr>
      </w:pPr>
      <w:r>
        <w:rPr>
          <w:iCs/>
          <w:color w:val="00B0F0"/>
          <w:szCs w:val="24"/>
        </w:rPr>
        <w:tab/>
      </w:r>
      <w:r>
        <w:rPr>
          <w:iCs/>
          <w:szCs w:val="24"/>
        </w:rPr>
        <w:t xml:space="preserve">Према захтевима технологије  ово ППОВ треба да садржи главно постројење  тј. објекат пречистача са пратећим објектима, потребне шахте, црпну станицу, мерни пункт... </w:t>
      </w:r>
    </w:p>
    <w:p>
      <w:pPr>
        <w:pStyle w:val="Normal"/>
        <w:suppressAutoHyphens w:val="false"/>
        <w:rPr>
          <w:rFonts w:ascii="Times New Roman" w:hAnsi="Times New Roman"/>
        </w:rPr>
      </w:pPr>
      <w:r>
        <w:rPr>
          <w:bCs/>
          <w:szCs w:val="24"/>
          <w:lang w:val="ru-RU"/>
        </w:rPr>
        <w:t xml:space="preserve">Отпадне воде које су прошле кроз цео третман пречишћавања, механички и хемијски, се системом цеви испуштају у </w:t>
      </w:r>
      <w:r>
        <w:rPr>
          <w:szCs w:val="24"/>
          <w:lang w:val="sr-RS"/>
        </w:rPr>
        <w:t>Велику Реку</w:t>
      </w:r>
      <w:r>
        <w:rPr>
          <w:bCs/>
          <w:szCs w:val="24"/>
          <w:lang w:val="ru-RU"/>
        </w:rPr>
        <w:t xml:space="preserve">. Квалитет воде која се упушта у реципијент </w:t>
      </w:r>
      <w:r>
        <w:rPr>
          <w:szCs w:val="24"/>
          <w:lang w:val="sr-RS"/>
        </w:rPr>
        <w:t>Велику</w:t>
      </w:r>
      <w:r>
        <w:rPr>
          <w:szCs w:val="24"/>
        </w:rPr>
        <w:t xml:space="preserve"> реку </w:t>
      </w:r>
      <w:r>
        <w:rPr>
          <w:bCs/>
          <w:szCs w:val="24"/>
          <w:lang w:val="ru-RU"/>
        </w:rPr>
        <w:t xml:space="preserve">треба да буде у складу са Правилником о упуштању отпадних вода у водотоке и никако лошија од квалитета воде у водотоку. </w:t>
      </w:r>
    </w:p>
    <w:p>
      <w:pPr>
        <w:pStyle w:val="Normal"/>
        <w:suppressAutoHyphens w:val="false"/>
        <w:rPr>
          <w:rFonts w:ascii="Times New Roman" w:hAnsi="Times New Roman"/>
        </w:rPr>
      </w:pPr>
      <w:r>
        <w:rPr>
          <w:szCs w:val="24"/>
        </w:rPr>
        <w:t xml:space="preserve">На површини планираној за изградњу пречишћивача, а према усвојеној технологији, просторно организовати систем ППОВ </w:t>
      </w:r>
      <w:r>
        <w:rPr>
          <w:b/>
          <w:bCs/>
          <w:szCs w:val="24"/>
        </w:rPr>
        <w:t xml:space="preserve">– </w:t>
      </w:r>
      <w:r>
        <w:rPr>
          <w:b/>
          <w:bCs/>
          <w:szCs w:val="24"/>
          <w:lang w:val="sr-RS"/>
        </w:rPr>
        <w:t>са директним спровођењем Плана</w:t>
      </w:r>
      <w:r>
        <w:rPr>
          <w:b/>
          <w:bCs/>
          <w:szCs w:val="24"/>
          <w:lang w:val="ru-RU"/>
        </w:rPr>
        <w:t>.</w:t>
      </w:r>
    </w:p>
    <w:p>
      <w:pPr>
        <w:pStyle w:val="Normal"/>
        <w:suppressAutoHyphens w:val="false"/>
        <w:rPr>
          <w:rFonts w:ascii="Times New Roman" w:hAnsi="Times New Roman"/>
        </w:rPr>
      </w:pPr>
      <w:r>
        <w:rPr>
          <w:szCs w:val="24"/>
        </w:rPr>
        <w:tab/>
        <w:t xml:space="preserve">Потребну техничку документацију урадити према планским условима </w:t>
      </w:r>
      <w:r>
        <w:rPr>
          <w:szCs w:val="24"/>
          <w:lang w:val="sr-RS"/>
        </w:rPr>
        <w:t xml:space="preserve">(правила уређења и правила грађења) и </w:t>
      </w:r>
      <w:r>
        <w:rPr>
          <w:szCs w:val="24"/>
        </w:rPr>
        <w:t>прибављеним условима надлежних јавних предузећа.</w:t>
      </w:r>
    </w:p>
    <w:p>
      <w:pPr>
        <w:pStyle w:val="Normal"/>
        <w:suppressAutoHyphens w:val="false"/>
        <w:rPr>
          <w:rFonts w:ascii="Times New Roman" w:hAnsi="Times New Roman"/>
        </w:rPr>
      </w:pPr>
      <w:r>
        <w:rPr/>
      </w:r>
    </w:p>
    <w:p>
      <w:pPr>
        <w:pStyle w:val="ListParagraph"/>
        <w:tabs>
          <w:tab w:val="clear" w:pos="720"/>
          <w:tab w:val="left" w:pos="426" w:leader="none"/>
        </w:tabs>
        <w:suppressAutoHyphens w:val="false"/>
        <w:ind w:left="0" w:hanging="0"/>
        <w:rPr>
          <w:rFonts w:eastAsia="Calibri"/>
          <w:lang w:val="sr-RS"/>
        </w:rPr>
      </w:pPr>
      <w:r>
        <w:rPr>
          <w:rFonts w:eastAsia="Times New Roman"/>
          <w:bCs/>
          <w:szCs w:val="24"/>
          <w:lang w:val="sr-RS"/>
        </w:rPr>
        <w:tab/>
        <w:t xml:space="preserve">У простору планираном за изградњу ППОВ налази се евидентирана спомен чесма. Према условима </w:t>
      </w:r>
      <w:r>
        <w:rPr>
          <w:rFonts w:eastAsia="Calibri"/>
          <w:i/>
          <w:iCs/>
          <w:szCs w:val="24"/>
        </w:rPr>
        <w:t>„Завод</w:t>
      </w:r>
      <w:r>
        <w:rPr>
          <w:rFonts w:eastAsia="Calibri"/>
          <w:i/>
          <w:iCs/>
          <w:szCs w:val="24"/>
          <w:lang w:val="sr-RS"/>
        </w:rPr>
        <w:t>а</w:t>
      </w:r>
      <w:r>
        <w:rPr>
          <w:rFonts w:eastAsia="Calibri"/>
          <w:i/>
          <w:iCs/>
          <w:szCs w:val="24"/>
        </w:rPr>
        <w:t xml:space="preserve"> за заштиту споменика културе Ниш“, број  1</w:t>
      </w:r>
      <w:r>
        <w:rPr>
          <w:rFonts w:eastAsia="Calibri"/>
          <w:i/>
          <w:iCs/>
          <w:szCs w:val="24"/>
          <w:lang w:val="sr-RS"/>
        </w:rPr>
        <w:t>871</w:t>
      </w:r>
      <w:r>
        <w:rPr>
          <w:rFonts w:eastAsia="Calibri"/>
          <w:i/>
          <w:iCs/>
          <w:szCs w:val="24"/>
        </w:rPr>
        <w:t xml:space="preserve">/2-02, од </w:t>
      </w:r>
      <w:r>
        <w:rPr>
          <w:rFonts w:eastAsia="Calibri"/>
          <w:i/>
          <w:iCs/>
          <w:szCs w:val="24"/>
          <w:lang w:val="sr-RS"/>
        </w:rPr>
        <w:t>0</w:t>
      </w:r>
      <w:r>
        <w:rPr>
          <w:rFonts w:eastAsia="Calibri"/>
          <w:i/>
          <w:iCs/>
          <w:szCs w:val="24"/>
        </w:rPr>
        <w:t>1.11.202</w:t>
      </w:r>
      <w:r>
        <w:rPr>
          <w:rFonts w:eastAsia="Calibri"/>
          <w:i/>
          <w:iCs/>
          <w:szCs w:val="24"/>
          <w:lang w:val="sr-RS"/>
        </w:rPr>
        <w:t>3</w:t>
      </w:r>
      <w:r>
        <w:rPr>
          <w:rFonts w:eastAsia="Calibri"/>
          <w:i/>
          <w:iCs/>
          <w:szCs w:val="24"/>
        </w:rPr>
        <w:t>. г</w:t>
      </w:r>
      <w:r>
        <w:rPr>
          <w:rFonts w:eastAsia="Calibri"/>
          <w:i/>
          <w:iCs/>
          <w:szCs w:val="24"/>
          <w:lang w:val="sr-RS"/>
        </w:rPr>
        <w:t>.</w:t>
      </w:r>
      <w:r>
        <w:rPr>
          <w:rFonts w:eastAsia="Calibri"/>
          <w:i/>
          <w:iCs/>
          <w:szCs w:val="24"/>
        </w:rPr>
        <w:t xml:space="preserve"> </w:t>
      </w:r>
      <w:r>
        <w:rPr>
          <w:rFonts w:eastAsia="Calibri"/>
          <w:i/>
          <w:iCs/>
          <w:szCs w:val="24"/>
          <w:lang w:val="sr-RS"/>
        </w:rPr>
        <w:t>о</w:t>
      </w:r>
      <w:r>
        <w:rPr>
          <w:rFonts w:eastAsia="Calibri"/>
          <w:szCs w:val="24"/>
          <w:lang w:val="sr-RS"/>
        </w:rPr>
        <w:t>вај податак није обрађен</w:t>
      </w:r>
      <w:r>
        <w:rPr>
          <w:rFonts w:eastAsia="Calibri"/>
          <w:i/>
          <w:iCs/>
          <w:szCs w:val="24"/>
          <w:lang w:val="sr-RS"/>
        </w:rPr>
        <w:t xml:space="preserve">. </w:t>
      </w:r>
      <w:r>
        <w:rPr>
          <w:rFonts w:eastAsia="Calibri"/>
          <w:szCs w:val="24"/>
          <w:lang w:val="sr-RS"/>
        </w:rPr>
        <w:t xml:space="preserve">Приликом израде пројекта ППОВ и организације простора и технологије процеса, простор чесме </w:t>
      </w:r>
      <w:r>
        <w:rPr>
          <w:szCs w:val="24"/>
          <w:lang w:val="sr-RS"/>
        </w:rPr>
        <w:t>заштити оградом или зеленилом</w:t>
      </w:r>
      <w:r>
        <w:rPr>
          <w:rFonts w:eastAsia="Calibri"/>
          <w:szCs w:val="24"/>
          <w:lang w:val="sr-RS"/>
        </w:rPr>
        <w:t xml:space="preserve"> и обрадити као део уређења простора (зеленило, прикладан мобијлијар и сл.).</w:t>
      </w:r>
      <w:r>
        <w:rPr>
          <w:szCs w:val="24"/>
          <w:lang w:val="sr-RS"/>
        </w:rPr>
        <w:t xml:space="preserve"> </w:t>
      </w:r>
    </w:p>
    <w:p>
      <w:pPr>
        <w:pStyle w:val="ListParagraph"/>
        <w:tabs>
          <w:tab w:val="clear" w:pos="720"/>
          <w:tab w:val="left" w:pos="426" w:leader="none"/>
        </w:tabs>
        <w:ind w:left="0" w:hanging="0"/>
        <w:rPr>
          <w:rFonts w:ascii="Times New Roman" w:hAnsi="Times New Roman" w:eastAsia="Times New Roman"/>
          <w:b/>
          <w:b/>
          <w:color w:val="00B0F0"/>
        </w:rPr>
      </w:pPr>
      <w:r>
        <w:rPr>
          <w:rFonts w:eastAsia="Times New Roman"/>
          <w:b/>
          <w:color w:val="00B0F0"/>
        </w:rPr>
      </w:r>
    </w:p>
    <w:p>
      <w:pPr>
        <w:pStyle w:val="ListParagraph"/>
        <w:suppressAutoHyphens w:val="false"/>
        <w:ind w:left="0" w:firstLine="426"/>
        <w:rPr>
          <w:rFonts w:ascii="Times New Roman" w:hAnsi="Times New Roman"/>
        </w:rPr>
      </w:pPr>
      <w:r>
        <w:rPr>
          <w:rFonts w:eastAsia="Times New Roman"/>
          <w:b/>
          <w:u w:val="single"/>
        </w:rPr>
        <w:t>Б</w:t>
      </w:r>
      <w:r>
        <w:rPr>
          <w:rFonts w:eastAsia="Times New Roman"/>
          <w:b/>
          <w:u w:val="single"/>
          <w:lang w:val="sr-RS"/>
        </w:rPr>
        <w:t xml:space="preserve"> –</w:t>
      </w:r>
      <w:r>
        <w:rPr>
          <w:rFonts w:eastAsia="Times New Roman"/>
          <w:b/>
          <w:u w:val="single"/>
        </w:rPr>
        <w:t xml:space="preserve"> </w:t>
      </w:r>
      <w:r>
        <w:rPr>
          <w:rFonts w:eastAsia="Times New Roman"/>
          <w:b/>
          <w:u w:val="single"/>
          <w:lang w:val="sr-RS"/>
        </w:rPr>
        <w:t>П</w:t>
      </w:r>
      <w:r>
        <w:rPr>
          <w:rFonts w:eastAsia="Times New Roman"/>
          <w:b/>
          <w:u w:val="single"/>
          <w:lang w:val="sr-CS"/>
        </w:rPr>
        <w:t>ланирана саобраћајница</w:t>
      </w:r>
    </w:p>
    <w:p>
      <w:pPr>
        <w:pStyle w:val="ListParagraph"/>
        <w:suppressAutoHyphens w:val="false"/>
        <w:ind w:left="0" w:firstLine="426"/>
        <w:rPr>
          <w:rFonts w:ascii="Times New Roman" w:hAnsi="Times New Roman"/>
          <w:color w:val="00B0F0"/>
          <w:lang w:val="en-US"/>
        </w:rPr>
      </w:pPr>
      <w:r>
        <w:rPr>
          <w:color w:val="00B0F0"/>
          <w:lang w:val="en-US"/>
        </w:rPr>
      </w:r>
    </w:p>
    <w:p>
      <w:pPr>
        <w:pStyle w:val="Normal"/>
        <w:rPr>
          <w:rFonts w:ascii="Times New Roman" w:hAnsi="Times New Roman"/>
        </w:rPr>
      </w:pPr>
      <w:r>
        <w:rPr>
          <w:szCs w:val="24"/>
          <w:lang w:val="sr-RS"/>
        </w:rPr>
        <w:t xml:space="preserve">Прилаз </w:t>
      </w:r>
      <w:r>
        <w:rPr>
          <w:szCs w:val="24"/>
          <w:lang w:val="ru-RU"/>
        </w:rPr>
        <w:t xml:space="preserve"> </w:t>
      </w:r>
      <w:r>
        <w:rPr>
          <w:szCs w:val="24"/>
        </w:rPr>
        <w:t>ППОВ</w:t>
      </w:r>
      <w:r>
        <w:rPr>
          <w:szCs w:val="24"/>
          <w:lang w:val="ru-RU"/>
        </w:rPr>
        <w:t xml:space="preserve"> се остварује преко </w:t>
      </w:r>
      <w:r>
        <w:rPr>
          <w:rFonts w:eastAsia="" w:cs="Times New Roman" w:eastAsiaTheme="minorEastAsia"/>
          <w:color w:val="auto"/>
          <w:kern w:val="0"/>
          <w:sz w:val="24"/>
          <w:szCs w:val="24"/>
          <w:lang w:val="sr-RS" w:eastAsia="en-US" w:bidi="ar-SA"/>
        </w:rPr>
        <w:t>планиране саобраћајнице</w:t>
      </w:r>
      <w:r>
        <w:rPr>
          <w:szCs w:val="24"/>
          <w:lang w:val="sr-CS"/>
        </w:rPr>
        <w:t xml:space="preserve"> који иде од севера ка југу до комплекса постројења и наставља ка западу до краја планског захвата. Ова</w:t>
      </w:r>
      <w:r>
        <w:rPr>
          <w:szCs w:val="24"/>
          <w:lang w:val="sr-RS"/>
        </w:rPr>
        <w:t xml:space="preserve"> планирана саобраћајница </w:t>
      </w:r>
      <w:r>
        <w:rPr>
          <w:szCs w:val="24"/>
          <w:lang w:val="sr-CS"/>
        </w:rPr>
        <w:t>је активан колски правац локалног становништва околних сеоских насеља</w:t>
      </w:r>
      <w:r>
        <w:rPr>
          <w:szCs w:val="24"/>
          <w:lang w:val="sr-RS"/>
        </w:rPr>
        <w:t>.</w:t>
      </w:r>
      <w:r>
        <w:rPr>
          <w:szCs w:val="24"/>
          <w:lang w:val="sr-CS"/>
        </w:rPr>
        <w:t xml:space="preserve"> </w:t>
      </w:r>
    </w:p>
    <w:p>
      <w:pPr>
        <w:pStyle w:val="ListParagraph"/>
        <w:suppressAutoHyphens w:val="false"/>
        <w:ind w:left="0" w:firstLine="426"/>
        <w:rPr>
          <w:rFonts w:ascii="Times New Roman" w:hAnsi="Times New Roman"/>
        </w:rPr>
      </w:pPr>
      <w:r>
        <w:rPr>
          <w:bCs/>
          <w:lang w:val="ru-RU"/>
        </w:rPr>
        <w:t>Планом детаљне регулације за постројењ</w:t>
      </w:r>
      <w:r>
        <w:rPr>
          <w:bCs/>
        </w:rPr>
        <w:t>е</w:t>
      </w:r>
      <w:r>
        <w:rPr>
          <w:bCs/>
          <w:lang w:val="ru-RU"/>
        </w:rPr>
        <w:t xml:space="preserve"> за пречишћавање оптадних вода насеља Витошевац</w:t>
      </w:r>
      <w:r>
        <w:rPr>
          <w:lang w:val="sr-RS"/>
        </w:rPr>
        <w:t xml:space="preserve"> је одрађена његова планска траса. Дужина трасе кроз плански простор је 324 </w:t>
      </w:r>
      <w:r>
        <w:rPr>
          <w:rFonts w:eastAsia="" w:cs="Times New Roman" w:eastAsiaTheme="minorEastAsia"/>
          <w:color w:val="auto"/>
          <w:kern w:val="0"/>
          <w:sz w:val="24"/>
          <w:szCs w:val="24"/>
          <w:lang w:val="sr-Latn-RS" w:eastAsia="en-US" w:bidi="ar-SA"/>
        </w:rPr>
        <w:t>m</w:t>
      </w:r>
      <w:r>
        <w:rPr>
          <w:lang w:val="sr-RS"/>
        </w:rPr>
        <w:t>.</w:t>
      </w:r>
    </w:p>
    <w:p>
      <w:pPr>
        <w:pStyle w:val="ListParagraph"/>
        <w:suppressAutoHyphens w:val="false"/>
        <w:ind w:left="0" w:firstLine="426"/>
        <w:rPr>
          <w:rFonts w:ascii="Times New Roman" w:hAnsi="Times New Roman"/>
        </w:rPr>
      </w:pPr>
      <w:r>
        <w:rPr/>
        <w:t>Регулациони појас</w:t>
      </w:r>
      <w:r>
        <w:rPr>
          <w:lang w:val="sr-RS"/>
        </w:rPr>
        <w:t xml:space="preserve"> планиране саобраћајнице </w:t>
      </w:r>
      <w:r>
        <w:rPr/>
        <w:t>обухвата  делове  к.п.</w:t>
      </w:r>
      <w:r>
        <w:rPr>
          <w:lang w:val="sr-RS"/>
        </w:rPr>
        <w:t>5108, к.п.5230/1, к.п.5230/2</w:t>
      </w:r>
      <w:r>
        <w:rPr/>
        <w:t xml:space="preserve"> и </w:t>
      </w:r>
      <w:r>
        <w:rPr>
          <w:lang w:val="sr-RS"/>
        </w:rPr>
        <w:t xml:space="preserve">к.п.5232 </w:t>
      </w:r>
      <w:r>
        <w:rPr/>
        <w:t xml:space="preserve">све КО </w:t>
      </w:r>
      <w:r>
        <w:rPr>
          <w:lang w:val="sr-RS"/>
        </w:rPr>
        <w:t>Витошевац</w:t>
      </w:r>
      <w:r>
        <w:rPr/>
        <w:t xml:space="preserve">. </w:t>
      </w:r>
    </w:p>
    <w:p>
      <w:pPr>
        <w:pStyle w:val="ListParagraph"/>
        <w:suppressAutoHyphens w:val="false"/>
        <w:ind w:left="0" w:firstLine="426"/>
        <w:rPr>
          <w:rFonts w:ascii="Times New Roman" w:hAnsi="Times New Roman"/>
        </w:rPr>
      </w:pPr>
      <w:r>
        <w:rPr/>
      </w:r>
    </w:p>
    <w:p>
      <w:pPr>
        <w:pStyle w:val="Normal"/>
        <w:tabs>
          <w:tab w:val="clear" w:pos="720"/>
          <w:tab w:val="left" w:pos="426" w:leader="none"/>
        </w:tabs>
        <w:ind w:firstLine="426"/>
        <w:rPr>
          <w:rFonts w:ascii="Times New Roman" w:hAnsi="Times New Roman"/>
        </w:rPr>
      </w:pPr>
      <w:r>
        <w:rPr>
          <w:szCs w:val="24"/>
        </w:rPr>
        <w:t xml:space="preserve">Координате осовина тачака </w:t>
      </w:r>
      <w:r>
        <w:rPr>
          <w:rFonts w:eastAsia="" w:cs="Times New Roman" w:eastAsiaTheme="minorEastAsia"/>
          <w:color w:val="auto"/>
          <w:kern w:val="0"/>
          <w:sz w:val="24"/>
          <w:szCs w:val="24"/>
          <w:lang w:val="sr-RS" w:eastAsia="en-US" w:bidi="ar-SA"/>
        </w:rPr>
        <w:t>планиране саобраћајнице</w:t>
      </w:r>
      <w:r>
        <w:rPr>
          <w:szCs w:val="24"/>
        </w:rPr>
        <w:t xml:space="preserve"> су</w:t>
      </w:r>
      <w:r>
        <w:rPr>
          <w:i/>
          <w:iCs/>
          <w:szCs w:val="24"/>
        </w:rPr>
        <w:t>:</w:t>
      </w:r>
    </w:p>
    <w:tbl>
      <w:tblPr>
        <w:tblStyle w:val="TableGrid"/>
        <w:tblW w:w="440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63"/>
        <w:gridCol w:w="1629"/>
        <w:gridCol w:w="1614"/>
      </w:tblGrid>
      <w:tr>
        <w:trPr/>
        <w:tc>
          <w:tcPr>
            <w:tcW w:w="1163" w:type="dxa"/>
            <w:tcBorders/>
          </w:tcPr>
          <w:p>
            <w:pPr>
              <w:pStyle w:val="Normal"/>
              <w:widowControl w:val="false"/>
              <w:tabs>
                <w:tab w:val="clear" w:pos="720"/>
                <w:tab w:val="left" w:pos="426" w:leader="none"/>
              </w:tabs>
              <w:suppressAutoHyphens w:val="true"/>
              <w:spacing w:before="0" w:after="0"/>
              <w:ind w:firstLine="426"/>
              <w:jc w:val="center"/>
              <w:rPr>
                <w:rFonts w:ascii="Times New Roman" w:hAnsi="Times New Roman"/>
                <w:i/>
                <w:i/>
                <w:iCs/>
                <w:szCs w:val="24"/>
              </w:rPr>
            </w:pPr>
            <w:r>
              <w:rPr>
                <w:rFonts w:cs="Times New Roman"/>
                <w:i/>
                <w:iCs/>
                <w:color w:val="000000"/>
                <w:kern w:val="0"/>
                <w:szCs w:val="24"/>
                <w:lang w:val="en-US" w:eastAsia="en-US" w:bidi="ar-SA"/>
              </w:rPr>
              <w:t>Бр. тачке</w:t>
            </w:r>
          </w:p>
        </w:tc>
        <w:tc>
          <w:tcPr>
            <w:tcW w:w="1629" w:type="dxa"/>
            <w:tcBorders/>
          </w:tcPr>
          <w:p>
            <w:pPr>
              <w:pStyle w:val="Normal"/>
              <w:widowControl w:val="false"/>
              <w:tabs>
                <w:tab w:val="clear" w:pos="720"/>
                <w:tab w:val="left" w:pos="426" w:leader="none"/>
              </w:tabs>
              <w:suppressAutoHyphens w:val="true"/>
              <w:spacing w:before="0" w:after="0"/>
              <w:jc w:val="center"/>
              <w:rPr>
                <w:rFonts w:ascii="Times New Roman" w:hAnsi="Times New Roman"/>
                <w:i/>
                <w:i/>
                <w:iCs/>
                <w:szCs w:val="24"/>
              </w:rPr>
            </w:pPr>
            <w:r>
              <w:rPr>
                <w:rFonts w:cs="Times New Roman"/>
                <w:i/>
                <w:iCs/>
                <w:color w:val="000000"/>
                <w:kern w:val="0"/>
                <w:szCs w:val="24"/>
                <w:lang w:val="en-US" w:eastAsia="en-US" w:bidi="ar-SA"/>
              </w:rPr>
              <w:t xml:space="preserve">     </w:t>
            </w:r>
            <w:r>
              <w:rPr>
                <w:rFonts w:cs="Times New Roman"/>
                <w:i/>
                <w:iCs/>
                <w:color w:val="000000"/>
                <w:kern w:val="0"/>
                <w:szCs w:val="24"/>
                <w:lang w:val="en-US" w:eastAsia="en-US" w:bidi="ar-SA"/>
              </w:rPr>
              <w:t>y</w:t>
            </w:r>
          </w:p>
        </w:tc>
        <w:tc>
          <w:tcPr>
            <w:tcW w:w="1614" w:type="dxa"/>
            <w:tcBorders/>
          </w:tcPr>
          <w:p>
            <w:pPr>
              <w:pStyle w:val="Normal"/>
              <w:widowControl w:val="false"/>
              <w:tabs>
                <w:tab w:val="clear" w:pos="720"/>
                <w:tab w:val="left" w:pos="426" w:leader="none"/>
              </w:tabs>
              <w:suppressAutoHyphens w:val="true"/>
              <w:spacing w:before="0" w:after="0"/>
              <w:jc w:val="center"/>
              <w:rPr>
                <w:rFonts w:ascii="Times New Roman" w:hAnsi="Times New Roman"/>
                <w:i/>
                <w:i/>
                <w:iCs/>
                <w:szCs w:val="24"/>
              </w:rPr>
            </w:pPr>
            <w:r>
              <w:rPr>
                <w:rFonts w:cs="Times New Roman"/>
                <w:i/>
                <w:iCs/>
                <w:color w:val="000000"/>
                <w:kern w:val="0"/>
                <w:szCs w:val="24"/>
                <w:lang w:val="en-US" w:eastAsia="en-US" w:bidi="ar-SA"/>
              </w:rPr>
              <w:t xml:space="preserve">      </w:t>
            </w:r>
            <w:r>
              <w:rPr>
                <w:rFonts w:cs="Times New Roman"/>
                <w:i/>
                <w:iCs/>
                <w:color w:val="000000"/>
                <w:kern w:val="0"/>
                <w:szCs w:val="24"/>
                <w:lang w:val="en-US" w:eastAsia="en-US" w:bidi="ar-SA"/>
              </w:rPr>
              <w:t>x</w:t>
            </w:r>
          </w:p>
        </w:tc>
      </w:tr>
      <w:tr>
        <w:trPr/>
        <w:tc>
          <w:tcPr>
            <w:tcW w:w="1163" w:type="dxa"/>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w:t>
            </w:r>
          </w:p>
        </w:tc>
        <w:tc>
          <w:tcPr>
            <w:tcW w:w="1629"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7 544 587.52</w:t>
            </w:r>
          </w:p>
        </w:tc>
        <w:tc>
          <w:tcPr>
            <w:tcW w:w="1614"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4 844 588.33</w:t>
            </w:r>
          </w:p>
        </w:tc>
      </w:tr>
      <w:tr>
        <w:trPr/>
        <w:tc>
          <w:tcPr>
            <w:tcW w:w="1163" w:type="dxa"/>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2</w:t>
            </w:r>
          </w:p>
        </w:tc>
        <w:tc>
          <w:tcPr>
            <w:tcW w:w="1629"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7 544 580.50</w:t>
            </w:r>
          </w:p>
        </w:tc>
        <w:tc>
          <w:tcPr>
            <w:tcW w:w="1614"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4 844 582.01</w:t>
            </w:r>
          </w:p>
        </w:tc>
      </w:tr>
      <w:tr>
        <w:trPr/>
        <w:tc>
          <w:tcPr>
            <w:tcW w:w="1163" w:type="dxa"/>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3</w:t>
            </w:r>
          </w:p>
        </w:tc>
        <w:tc>
          <w:tcPr>
            <w:tcW w:w="1629"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7 544 574.29</w:t>
            </w:r>
          </w:p>
        </w:tc>
        <w:tc>
          <w:tcPr>
            <w:tcW w:w="1614"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4 844 577.48</w:t>
            </w:r>
          </w:p>
        </w:tc>
      </w:tr>
      <w:tr>
        <w:trPr/>
        <w:tc>
          <w:tcPr>
            <w:tcW w:w="1163" w:type="dxa"/>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4</w:t>
            </w:r>
          </w:p>
        </w:tc>
        <w:tc>
          <w:tcPr>
            <w:tcW w:w="1629"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7 544 567.90</w:t>
            </w:r>
          </w:p>
        </w:tc>
        <w:tc>
          <w:tcPr>
            <w:tcW w:w="1614" w:type="dxa"/>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4 844 574.01</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5</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7 544 539.97</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4 844 562.23</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6</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7 544 532.74</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4 844 558.37</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7</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7 544 526.34</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4 844 553.26</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8</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7 544 508.99</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4 844 536.65</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9</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7 544 489.37</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4 844 523.10</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10</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7 544 466.48</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4 844 516.39</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11</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7 544 449.97</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4 844 514.31</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12</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7 544 441.80</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4 844 513.62</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13</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7 544 433.59</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4 844 513.61</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14</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7 544 405.59</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4 844 514.69</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15</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7 544 389.39</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4 844 516.66</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16</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7 544 373.73</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4 844 521.23</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17</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7 544 308.00</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4 844 546.38</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18</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7 544 298.58</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4 844 548.86</w:t>
            </w:r>
          </w:p>
        </w:tc>
      </w:tr>
      <w:tr>
        <w:trPr/>
        <w:tc>
          <w:tcPr>
            <w:tcW w:w="1163" w:type="dxa"/>
            <w:tcBorders>
              <w:top w:val="nil"/>
            </w:tcBorders>
          </w:tcPr>
          <w:p>
            <w:pPr>
              <w:pStyle w:val="Normal"/>
              <w:widowControl w:val="false"/>
              <w:tabs>
                <w:tab w:val="clear" w:pos="720"/>
                <w:tab w:val="left" w:pos="426" w:leader="none"/>
              </w:tabs>
              <w:suppressAutoHyphens w:val="true"/>
              <w:spacing w:before="0" w:after="0"/>
              <w:ind w:firstLine="426"/>
              <w:rPr>
                <w:rFonts w:ascii="Times New Roman" w:hAnsi="Times New Roman"/>
                <w:i/>
                <w:i/>
                <w:iCs/>
                <w:szCs w:val="24"/>
              </w:rPr>
            </w:pPr>
            <w:r>
              <w:rPr>
                <w:rFonts w:cs="Times New Roman"/>
                <w:i/>
                <w:iCs/>
                <w:color w:val="000000"/>
                <w:kern w:val="0"/>
                <w:szCs w:val="24"/>
                <w:lang w:val="en-US" w:eastAsia="en-US" w:bidi="ar-SA"/>
              </w:rPr>
              <w:t>19</w:t>
            </w:r>
          </w:p>
        </w:tc>
        <w:tc>
          <w:tcPr>
            <w:tcW w:w="1629"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7 544 288.84</w:t>
            </w:r>
          </w:p>
        </w:tc>
        <w:tc>
          <w:tcPr>
            <w:tcW w:w="1614" w:type="dxa"/>
            <w:tcBorders>
              <w:top w:val="nil"/>
            </w:tcBorders>
          </w:tcPr>
          <w:p>
            <w:pPr>
              <w:pStyle w:val="Normal"/>
              <w:widowControl w:val="false"/>
              <w:tabs>
                <w:tab w:val="clear" w:pos="720"/>
                <w:tab w:val="left" w:pos="426" w:leader="none"/>
              </w:tabs>
              <w:suppressAutoHyphens w:val="true"/>
              <w:spacing w:before="0" w:after="0"/>
              <w:rPr>
                <w:rFonts w:ascii="Times New Roman" w:hAnsi="Times New Roman"/>
                <w:i/>
                <w:i/>
                <w:iCs/>
                <w:szCs w:val="24"/>
              </w:rPr>
            </w:pPr>
            <w:r>
              <w:rPr>
                <w:rFonts w:cs="Times New Roman"/>
                <w:i/>
                <w:iCs/>
                <w:color w:val="000000"/>
                <w:kern w:val="0"/>
                <w:szCs w:val="24"/>
                <w:lang w:val="en-US" w:eastAsia="en-US" w:bidi="ar-SA"/>
              </w:rPr>
              <w:t>4 844 549.25</w:t>
            </w:r>
          </w:p>
        </w:tc>
      </w:tr>
    </w:tbl>
    <w:p>
      <w:pPr>
        <w:pStyle w:val="Normal"/>
        <w:tabs>
          <w:tab w:val="clear" w:pos="720"/>
          <w:tab w:val="left" w:pos="426" w:leader="none"/>
        </w:tabs>
        <w:rPr>
          <w:rFonts w:ascii="Times New Roman" w:hAnsi="Times New Roman"/>
          <w:bCs/>
          <w:i/>
          <w:i/>
          <w:iCs/>
          <w:szCs w:val="24"/>
        </w:rPr>
      </w:pPr>
      <w:r>
        <w:rPr>
          <w:bCs/>
          <w:i/>
          <w:iCs/>
          <w:szCs w:val="24"/>
        </w:rPr>
      </w:r>
    </w:p>
    <w:p>
      <w:pPr>
        <w:pStyle w:val="Normal"/>
        <w:tabs>
          <w:tab w:val="clear" w:pos="720"/>
          <w:tab w:val="left" w:pos="426" w:leader="none"/>
        </w:tabs>
        <w:rPr>
          <w:rFonts w:ascii="Times New Roman" w:hAnsi="Times New Roman"/>
          <w:bCs/>
          <w:i/>
          <w:i/>
          <w:iCs/>
          <w:szCs w:val="24"/>
        </w:rPr>
      </w:pPr>
      <w:r>
        <w:rPr>
          <w:bCs/>
          <w:i/>
          <w:iCs/>
          <w:szCs w:val="24"/>
        </w:rPr>
      </w:r>
    </w:p>
    <w:p>
      <w:pPr>
        <w:pStyle w:val="Normal"/>
        <w:tabs>
          <w:tab w:val="clear" w:pos="720"/>
          <w:tab w:val="left" w:pos="426" w:leader="none"/>
        </w:tabs>
        <w:rPr>
          <w:rFonts w:ascii="Times New Roman" w:hAnsi="Times New Roman"/>
        </w:rPr>
      </w:pPr>
      <w:r>
        <w:rPr>
          <w:bCs/>
          <w:i/>
          <w:iCs/>
          <w:szCs w:val="24"/>
        </w:rPr>
        <w:t xml:space="preserve">Регулационе линије и укупна ширина регулационог појаса и </w:t>
      </w:r>
      <w:r>
        <w:rPr>
          <w:i/>
          <w:szCs w:val="24"/>
        </w:rPr>
        <w:t>Нивелационо решење</w:t>
      </w:r>
    </w:p>
    <w:p>
      <w:pPr>
        <w:pStyle w:val="Normal"/>
        <w:tabs>
          <w:tab w:val="clear" w:pos="720"/>
          <w:tab w:val="left" w:pos="426" w:leader="none"/>
        </w:tabs>
        <w:ind w:firstLine="426"/>
        <w:rPr>
          <w:rFonts w:ascii="Times New Roman" w:hAnsi="Times New Roman"/>
        </w:rPr>
      </w:pPr>
      <w:r>
        <w:rPr>
          <w:szCs w:val="24"/>
          <w:lang w:val="sr-RS"/>
        </w:rPr>
        <w:t>Планска траса планиране саобраћајницен</w:t>
      </w:r>
      <w:r>
        <w:rPr>
          <w:szCs w:val="24"/>
          <w:lang w:val="sr-CS"/>
        </w:rPr>
        <w:t xml:space="preserve"> </w:t>
      </w:r>
      <w:r>
        <w:rPr>
          <w:szCs w:val="24"/>
        </w:rPr>
        <w:t xml:space="preserve">има две саобраћајне траке укупне ширине </w:t>
      </w:r>
      <w:r>
        <w:rPr>
          <w:szCs w:val="24"/>
          <w:lang w:val="sr-RS"/>
        </w:rPr>
        <w:t>5,5</w:t>
      </w:r>
      <w:r>
        <w:rPr>
          <w:szCs w:val="24"/>
        </w:rPr>
        <w:t xml:space="preserve">0 m. </w:t>
      </w:r>
    </w:p>
    <w:p>
      <w:pPr>
        <w:pStyle w:val="Normal"/>
        <w:tabs>
          <w:tab w:val="clear" w:pos="720"/>
          <w:tab w:val="left" w:pos="426" w:leader="none"/>
        </w:tabs>
        <w:ind w:firstLine="426"/>
        <w:rPr>
          <w:rFonts w:ascii="Times New Roman" w:hAnsi="Times New Roman"/>
        </w:rPr>
      </w:pPr>
      <w:r>
        <w:rPr>
          <w:szCs w:val="24"/>
        </w:rPr>
        <w:t xml:space="preserve">Коловозну конструкцију </w:t>
      </w:r>
      <w:r>
        <w:rPr>
          <w:rFonts w:eastAsia="" w:cs="Times New Roman" w:eastAsiaTheme="minorEastAsia"/>
          <w:color w:val="auto"/>
          <w:kern w:val="0"/>
          <w:sz w:val="24"/>
          <w:szCs w:val="24"/>
          <w:lang w:val="sr-RS" w:eastAsia="en-US" w:bidi="ar-SA"/>
        </w:rPr>
        <w:t>планиране саобраћајнице</w:t>
      </w:r>
      <w:r>
        <w:rPr>
          <w:szCs w:val="24"/>
          <w:lang w:val="sr-CS"/>
        </w:rPr>
        <w:t xml:space="preserve"> </w:t>
      </w:r>
      <w:r>
        <w:rPr>
          <w:szCs w:val="24"/>
        </w:rPr>
        <w:t xml:space="preserve">радити као саобраћајницу </w:t>
      </w:r>
      <w:r>
        <w:rPr>
          <w:szCs w:val="24"/>
          <w:lang w:val="sr-RS"/>
        </w:rPr>
        <w:t xml:space="preserve">за возила са већим </w:t>
      </w:r>
      <w:r>
        <w:rPr>
          <w:szCs w:val="24"/>
        </w:rPr>
        <w:t xml:space="preserve"> оптерећењ</w:t>
      </w:r>
      <w:r>
        <w:rPr>
          <w:szCs w:val="24"/>
          <w:lang w:val="sr-RS"/>
        </w:rPr>
        <w:t>ем (камиони и сл.) која имају приступ у ППОВ у периоду изградње и експлоатације.</w:t>
      </w:r>
      <w:r>
        <w:rPr>
          <w:szCs w:val="24"/>
        </w:rPr>
        <w:t xml:space="preserve"> При пројектовању коловозне конструкције, мора се водити рачуна о квалитету материјала у постељици и саобраћајном оптерећењу.</w:t>
      </w:r>
    </w:p>
    <w:p>
      <w:pPr>
        <w:pStyle w:val="Normal"/>
        <w:tabs>
          <w:tab w:val="clear" w:pos="720"/>
          <w:tab w:val="left" w:pos="426" w:leader="none"/>
        </w:tabs>
        <w:ind w:firstLine="426"/>
        <w:rPr>
          <w:rFonts w:ascii="Times New Roman" w:hAnsi="Times New Roman"/>
        </w:rPr>
      </w:pPr>
      <w:r>
        <w:rPr>
          <w:szCs w:val="24"/>
        </w:rPr>
        <w:t xml:space="preserve">Одводњавање решавати гравитационим отицањем у околни простор.  </w:t>
      </w:r>
    </w:p>
    <w:p>
      <w:pPr>
        <w:pStyle w:val="Normal"/>
        <w:tabs>
          <w:tab w:val="clear" w:pos="720"/>
          <w:tab w:val="left" w:pos="426" w:leader="none"/>
        </w:tabs>
        <w:suppressAutoHyphens w:val="false"/>
        <w:ind w:firstLine="426"/>
        <w:rPr>
          <w:rFonts w:ascii="Times New Roman" w:hAnsi="Times New Roman"/>
        </w:rPr>
      </w:pPr>
      <w:r>
        <w:rPr>
          <w:szCs w:val="24"/>
        </w:rPr>
        <w:t>Неће се сматрати изменом Плана евентуалне корекције аналитичко геодетских елемената хоризонталних кривина планиран</w:t>
      </w:r>
      <w:r>
        <w:rPr>
          <w:rFonts w:eastAsia="" w:cs="Times New Roman" w:eastAsiaTheme="minorEastAsia"/>
          <w:color w:val="auto"/>
          <w:kern w:val="0"/>
          <w:sz w:val="24"/>
          <w:szCs w:val="24"/>
          <w:lang w:val="sr-RS" w:eastAsia="en-US" w:bidi="ar-SA"/>
        </w:rPr>
        <w:t>е</w:t>
      </w:r>
      <w:r>
        <w:rPr>
          <w:szCs w:val="24"/>
          <w:lang w:val="sr-CS"/>
        </w:rPr>
        <w:t xml:space="preserve"> </w:t>
      </w:r>
      <w:r>
        <w:rPr>
          <w:rFonts w:eastAsia="" w:cs="Times New Roman" w:eastAsiaTheme="minorEastAsia"/>
          <w:color w:val="auto"/>
          <w:kern w:val="0"/>
          <w:sz w:val="24"/>
          <w:szCs w:val="24"/>
          <w:lang w:val="sr-RS" w:eastAsia="en-US" w:bidi="ar-SA"/>
        </w:rPr>
        <w:t>саобраћајнице</w:t>
      </w:r>
      <w:r>
        <w:rPr>
          <w:szCs w:val="24"/>
        </w:rPr>
        <w:t xml:space="preserve"> приликом израде пројектне документације, али само у оквиру планиране ширине регулационог појаса.</w:t>
      </w:r>
    </w:p>
    <w:p>
      <w:pPr>
        <w:pStyle w:val="Normal"/>
        <w:tabs>
          <w:tab w:val="clear" w:pos="720"/>
          <w:tab w:val="left" w:pos="426" w:leader="none"/>
        </w:tabs>
        <w:ind w:firstLine="426"/>
        <w:rPr>
          <w:rFonts w:ascii="Times New Roman" w:hAnsi="Times New Roman"/>
        </w:rPr>
      </w:pPr>
      <w:r>
        <w:rPr>
          <w:b/>
          <w:szCs w:val="24"/>
        </w:rPr>
        <w:t xml:space="preserve">Задата минимална ширина саобраћајних трака коловоза је </w:t>
      </w:r>
      <w:r>
        <w:rPr>
          <w:b/>
          <w:szCs w:val="24"/>
          <w:u w:val="single"/>
        </w:rPr>
        <w:t>обавезујућа</w:t>
      </w:r>
      <w:r>
        <w:rPr>
          <w:b/>
          <w:szCs w:val="24"/>
          <w:u w:val="single"/>
          <w:lang w:val="sr-RS"/>
        </w:rPr>
        <w:t xml:space="preserve">, али се до коначне реализације  може да изводи по фазама </w:t>
      </w:r>
      <w:r>
        <w:rPr>
          <w:b w:val="false"/>
          <w:bCs w:val="false"/>
          <w:szCs w:val="24"/>
          <w:u w:val="single"/>
          <w:lang w:val="sr-RS"/>
        </w:rPr>
        <w:t>(прва фаза  3</w:t>
      </w:r>
      <w:r>
        <w:rPr>
          <w:rFonts w:eastAsia="" w:cs="Times New Roman" w:eastAsiaTheme="minorEastAsia"/>
          <w:b w:val="false"/>
          <w:bCs w:val="false"/>
          <w:color w:val="auto"/>
          <w:kern w:val="0"/>
          <w:sz w:val="24"/>
          <w:szCs w:val="24"/>
          <w:u w:val="single"/>
          <w:lang w:val="sr-RS" w:eastAsia="en-US" w:bidi="ar-SA"/>
        </w:rPr>
        <w:t>,</w:t>
      </w:r>
      <w:r>
        <w:rPr>
          <w:rFonts w:eastAsia="" w:cs="Times New Roman" w:eastAsiaTheme="minorEastAsia"/>
          <w:b w:val="false"/>
          <w:bCs w:val="false"/>
          <w:color w:val="auto"/>
          <w:kern w:val="0"/>
          <w:sz w:val="24"/>
          <w:szCs w:val="24"/>
          <w:u w:val="single"/>
          <w:lang w:val="sr-Latn-RS" w:eastAsia="en-US" w:bidi="ar-SA"/>
        </w:rPr>
        <w:t>0m</w:t>
      </w:r>
      <w:r>
        <w:rPr>
          <w:b w:val="false"/>
          <w:bCs w:val="false"/>
          <w:szCs w:val="24"/>
          <w:u w:val="single"/>
          <w:lang w:val="sr-RS"/>
        </w:rPr>
        <w:t xml:space="preserve"> , друга фаза још 2,5</w:t>
      </w:r>
      <w:r>
        <w:rPr>
          <w:b w:val="false"/>
          <w:bCs w:val="false"/>
          <w:szCs w:val="24"/>
          <w:u w:val="single"/>
          <w:lang w:val="sr-Latn-RS"/>
        </w:rPr>
        <w:t>m</w:t>
      </w:r>
      <w:r>
        <w:rPr>
          <w:b w:val="false"/>
          <w:bCs w:val="false"/>
          <w:szCs w:val="24"/>
          <w:u w:val="single"/>
          <w:lang w:val="sr-RS"/>
        </w:rPr>
        <w:t>).</w:t>
      </w:r>
    </w:p>
    <w:p>
      <w:pPr>
        <w:pStyle w:val="Normal"/>
        <w:tabs>
          <w:tab w:val="clear" w:pos="720"/>
          <w:tab w:val="left" w:pos="426" w:leader="none"/>
        </w:tabs>
        <w:ind w:firstLine="426"/>
        <w:rPr>
          <w:rFonts w:ascii="Times New Roman" w:hAnsi="Times New Roman"/>
          <w:b w:val="false"/>
          <w:b w:val="false"/>
          <w:bCs w:val="false"/>
          <w:color w:val="00B0F0"/>
          <w:szCs w:val="24"/>
        </w:rPr>
      </w:pPr>
      <w:r>
        <w:rPr>
          <w:b w:val="false"/>
          <w:bCs w:val="false"/>
          <w:color w:val="00B0F0"/>
          <w:szCs w:val="24"/>
        </w:rPr>
      </w:r>
    </w:p>
    <w:p>
      <w:pPr>
        <w:pStyle w:val="Normal"/>
        <w:tabs>
          <w:tab w:val="clear" w:pos="720"/>
          <w:tab w:val="left" w:pos="426" w:leader="none"/>
        </w:tabs>
        <w:ind w:firstLine="426"/>
        <w:rPr>
          <w:rFonts w:ascii="Times New Roman" w:hAnsi="Times New Roman"/>
        </w:rPr>
      </w:pPr>
      <w:r>
        <w:rPr>
          <w:b/>
          <w:bCs/>
          <w:szCs w:val="24"/>
          <w:u w:val="single"/>
          <w:lang w:val="sr-RS"/>
        </w:rPr>
        <w:t>В – Зелене површине -заштитно зеленило</w:t>
      </w:r>
    </w:p>
    <w:p>
      <w:pPr>
        <w:pStyle w:val="Normal"/>
        <w:tabs>
          <w:tab w:val="clear" w:pos="720"/>
          <w:tab w:val="left" w:pos="426" w:leader="none"/>
        </w:tabs>
        <w:ind w:firstLine="426"/>
        <w:rPr>
          <w:rFonts w:ascii="Times New Roman" w:hAnsi="Times New Roman"/>
        </w:rPr>
      </w:pPr>
      <w:r>
        <w:rPr>
          <w:szCs w:val="24"/>
          <w:lang w:val="sr-RS"/>
        </w:rPr>
        <w:t xml:space="preserve">Ово су јавне површине на простору поред планиране саобраћајнице – која је веза ППОВ са </w:t>
      </w:r>
      <w:r>
        <w:rPr>
          <w:lang w:val="sr-CS"/>
        </w:rPr>
        <w:t xml:space="preserve">Државним путем </w:t>
      </w:r>
      <w:r>
        <w:rPr>
          <w:rFonts w:eastAsia="" w:cs="Times New Roman" w:eastAsiaTheme="minorEastAsia"/>
          <w:color w:val="auto"/>
          <w:kern w:val="0"/>
          <w:sz w:val="24"/>
          <w:szCs w:val="22"/>
          <w:lang w:val="sr-Latn-RS" w:eastAsia="en-US" w:bidi="ar-SA"/>
        </w:rPr>
        <w:t>II</w:t>
      </w:r>
      <w:r>
        <w:rPr>
          <w:lang w:val="sr-CS"/>
        </w:rPr>
        <w:t xml:space="preserve">Б реда број 420. </w:t>
      </w:r>
    </w:p>
    <w:p>
      <w:pPr>
        <w:pStyle w:val="ListParagraph"/>
        <w:ind w:left="0" w:firstLine="450"/>
        <w:rPr>
          <w:rFonts w:ascii="Times New Roman" w:hAnsi="Times New Roman"/>
        </w:rPr>
      </w:pPr>
      <w:r>
        <w:rPr/>
        <w:t xml:space="preserve">Зелене површине оплеменити </w:t>
      </w:r>
      <w:r>
        <w:rPr>
          <w:lang w:val="sr-RS"/>
        </w:rPr>
        <w:t xml:space="preserve">– допунити </w:t>
      </w:r>
      <w:r>
        <w:rPr/>
        <w:t xml:space="preserve">неалергентима </w:t>
      </w:r>
      <w:r>
        <w:rPr>
          <w:rFonts w:eastAsia="Times New Roman"/>
        </w:rPr>
        <w:t>кој</w:t>
      </w:r>
      <w:r>
        <w:rPr>
          <w:rFonts w:eastAsia="Times New Roman"/>
          <w:lang w:val="sr-RS"/>
        </w:rPr>
        <w:t>и</w:t>
      </w:r>
      <w:r>
        <w:rPr>
          <w:rFonts w:eastAsia="Times New Roman"/>
        </w:rPr>
        <w:t xml:space="preserve"> ће имати улогу апсорпционог појаса за заштиту околине, као и спољашњу заштиту објеката унутар комплекса.</w:t>
      </w:r>
      <w:r>
        <w:rPr>
          <w:rFonts w:eastAsia="Times New Roman"/>
          <w:lang w:val="sr-RS"/>
        </w:rPr>
        <w:t xml:space="preserve"> Потебно је планирати одржавање ових површина од стране управљача </w:t>
      </w:r>
      <w:r>
        <w:rPr>
          <w:rFonts w:eastAsia="" w:cs="Times New Roman" w:eastAsiaTheme="minorEastAsia"/>
          <w:color w:val="auto"/>
          <w:kern w:val="0"/>
          <w:sz w:val="24"/>
          <w:szCs w:val="24"/>
          <w:lang w:val="sr-RS" w:eastAsia="en-US" w:bidi="ar-SA"/>
        </w:rPr>
        <w:t>пута</w:t>
      </w:r>
      <w:r>
        <w:rPr>
          <w:lang w:val="sr-RS"/>
        </w:rPr>
        <w:t>. Одржавање ових зелених површина се састоји у: Редовно шишање траве, уклањање корова и подкресивање грана.</w:t>
      </w:r>
      <w:r>
        <w:rPr>
          <w:rFonts w:eastAsia="Times New Roman"/>
          <w:lang w:val="sr-RS"/>
        </w:rPr>
        <w:t xml:space="preserve"> </w:t>
      </w:r>
    </w:p>
    <w:p>
      <w:pPr>
        <w:pStyle w:val="ListParagraph"/>
        <w:tabs>
          <w:tab w:val="clear" w:pos="720"/>
          <w:tab w:val="left" w:pos="426" w:leader="none"/>
        </w:tabs>
        <w:ind w:left="360" w:hanging="0"/>
        <w:rPr>
          <w:rFonts w:ascii="Times New Roman" w:hAnsi="Times New Roman"/>
        </w:rPr>
      </w:pPr>
      <w:r>
        <w:rPr>
          <w:lang w:val="sr-RS"/>
        </w:rPr>
        <w:t xml:space="preserve">Врсте и начин засада дефинисан је у поглављу: </w:t>
      </w:r>
      <w:r>
        <w:rPr>
          <w:b/>
          <w:bCs/>
          <w:lang w:val="sr-RS"/>
        </w:rPr>
        <w:t>4.</w:t>
      </w:r>
      <w:r>
        <w:rPr>
          <w:lang w:val="sr-RS"/>
        </w:rPr>
        <w:t xml:space="preserve"> </w:t>
      </w:r>
      <w:r>
        <w:rPr>
          <w:rFonts w:eastAsia="Calibri" w:eastAsiaTheme="minorHAnsi"/>
          <w:b/>
          <w:bCs/>
        </w:rPr>
        <w:t>Уређење зелених и слободних површина</w:t>
      </w:r>
    </w:p>
    <w:p>
      <w:pPr>
        <w:pStyle w:val="ListParagraph"/>
        <w:tabs>
          <w:tab w:val="clear" w:pos="720"/>
          <w:tab w:val="left" w:pos="0" w:leader="none"/>
        </w:tabs>
        <w:ind w:left="0" w:hanging="0"/>
        <w:rPr>
          <w:rFonts w:ascii="Times New Roman" w:hAnsi="Times New Roman"/>
          <w:b/>
          <w:b/>
          <w:bCs/>
        </w:rPr>
      </w:pPr>
      <w:r>
        <w:rPr>
          <w:b/>
          <w:bCs/>
        </w:rPr>
      </w:r>
    </w:p>
    <w:p>
      <w:pPr>
        <w:pStyle w:val="Normal"/>
        <w:tabs>
          <w:tab w:val="clear" w:pos="720"/>
          <w:tab w:val="left" w:pos="426" w:leader="none"/>
        </w:tabs>
        <w:ind w:firstLine="426"/>
        <w:rPr>
          <w:rFonts w:ascii="Times New Roman" w:hAnsi="Times New Roman"/>
        </w:rPr>
      </w:pPr>
      <w:r>
        <w:rPr>
          <w:b/>
          <w:bCs/>
          <w:szCs w:val="24"/>
          <w:u w:val="single"/>
          <w:lang w:val="sr-RS"/>
        </w:rPr>
        <w:t>Г</w:t>
      </w:r>
      <w:r>
        <w:rPr>
          <w:b/>
          <w:bCs/>
          <w:szCs w:val="24"/>
          <w:u w:val="single"/>
        </w:rPr>
        <w:t xml:space="preserve"> – </w:t>
      </w:r>
      <w:r>
        <w:rPr>
          <w:b/>
          <w:bCs/>
          <w:szCs w:val="24"/>
          <w:u w:val="single"/>
          <w:lang w:val="sr-RS"/>
        </w:rPr>
        <w:t>водена површина део - Велика Река</w:t>
      </w:r>
    </w:p>
    <w:p>
      <w:pPr>
        <w:pStyle w:val="Normal"/>
        <w:rPr>
          <w:rFonts w:ascii="Times New Roman" w:hAnsi="Times New Roman" w:cs="Arial"/>
          <w:i/>
          <w:i/>
          <w:iCs/>
          <w:sz w:val="12"/>
          <w:szCs w:val="12"/>
          <w:lang w:val="sr-CS"/>
        </w:rPr>
      </w:pPr>
      <w:r>
        <w:rPr>
          <w:rFonts w:cs="Arial"/>
          <w:i/>
          <w:iCs/>
          <w:sz w:val="12"/>
          <w:szCs w:val="12"/>
          <w:lang w:val="sr-CS"/>
        </w:rPr>
      </w:r>
    </w:p>
    <w:p>
      <w:pPr>
        <w:pStyle w:val="Normal"/>
        <w:tabs>
          <w:tab w:val="clear" w:pos="720"/>
          <w:tab w:val="left" w:pos="426" w:leader="none"/>
        </w:tabs>
        <w:ind w:firstLine="426"/>
        <w:rPr>
          <w:rFonts w:ascii="Times New Roman" w:hAnsi="Times New Roman"/>
        </w:rPr>
      </w:pPr>
      <w:r>
        <w:rPr>
          <w:rFonts w:eastAsia="Calibri" w:eastAsiaTheme="minorHAnsi"/>
          <w:szCs w:val="24"/>
          <w:lang w:val="sr-RS"/>
        </w:rPr>
        <w:t xml:space="preserve">Планско решење овог Плана обухвата део површине реке Велика река и то део који је планиран као место за испуштање прерађене - пречишћене  воде из ППОВ. Захват речног корита је укључен целом дужином належућих кп бр. 5232 и 5233 и делова кп бр, 5234 и 5230/2 у дужинама које се граниче са водотоком реке Велика река (кп бр. 9670). У процесу израде техничке документације за ППОВ место излива ће се одредити према типу и технолошком процесу  ППОВ. Обавеза пројекта је да се плански одреди </w:t>
      </w:r>
      <w:r>
        <w:rPr>
          <w:rFonts w:eastAsia="Calibri" w:eastAsiaTheme="minorHAnsi"/>
          <w:szCs w:val="24"/>
        </w:rPr>
        <w:t>мест</w:t>
      </w:r>
      <w:r>
        <w:rPr>
          <w:rFonts w:eastAsia="Calibri" w:eastAsiaTheme="minorHAnsi"/>
          <w:szCs w:val="24"/>
          <w:lang w:val="sr-RS"/>
        </w:rPr>
        <w:t>о</w:t>
      </w:r>
      <w:r>
        <w:rPr>
          <w:rFonts w:eastAsia="Calibri" w:eastAsiaTheme="minorHAnsi"/>
          <w:szCs w:val="24"/>
        </w:rPr>
        <w:t xml:space="preserve"> изливне грађевине </w:t>
      </w:r>
      <w:r>
        <w:rPr>
          <w:rFonts w:eastAsia="Calibri" w:eastAsiaTheme="minorHAnsi"/>
          <w:szCs w:val="24"/>
          <w:lang w:val="sr-RS"/>
        </w:rPr>
        <w:t xml:space="preserve">и да се </w:t>
      </w:r>
      <w:r>
        <w:rPr>
          <w:rFonts w:eastAsia="Calibri" w:eastAsiaTheme="minorHAnsi"/>
          <w:szCs w:val="24"/>
        </w:rPr>
        <w:t>предвиди одговарајућ</w:t>
      </w:r>
      <w:r>
        <w:rPr>
          <w:rFonts w:eastAsia="Calibri" w:eastAsiaTheme="minorHAnsi"/>
          <w:szCs w:val="24"/>
          <w:lang w:val="sr-RS"/>
        </w:rPr>
        <w:t>а</w:t>
      </w:r>
      <w:r>
        <w:rPr>
          <w:rFonts w:eastAsia="Calibri" w:eastAsiaTheme="minorHAnsi"/>
          <w:szCs w:val="24"/>
        </w:rPr>
        <w:t xml:space="preserve"> заштит</w:t>
      </w:r>
      <w:r>
        <w:rPr>
          <w:rFonts w:eastAsia="Calibri" w:eastAsiaTheme="minorHAnsi"/>
          <w:szCs w:val="24"/>
          <w:lang w:val="sr-RS"/>
        </w:rPr>
        <w:t>а</w:t>
      </w:r>
      <w:r>
        <w:rPr>
          <w:rFonts w:eastAsia="Calibri" w:eastAsiaTheme="minorHAnsi"/>
          <w:szCs w:val="24"/>
        </w:rPr>
        <w:t xml:space="preserve"> дна и косина водотока, и </w:t>
      </w:r>
      <w:r>
        <w:rPr>
          <w:rFonts w:eastAsia="Calibri" w:eastAsiaTheme="minorHAnsi"/>
          <w:szCs w:val="24"/>
          <w:lang w:val="sr-RS"/>
        </w:rPr>
        <w:t xml:space="preserve">да </w:t>
      </w:r>
      <w:r>
        <w:rPr>
          <w:rFonts w:eastAsia="Calibri" w:eastAsiaTheme="minorHAnsi"/>
          <w:szCs w:val="24"/>
        </w:rPr>
        <w:t xml:space="preserve">иста не сме да негативно утиче на режим </w:t>
      </w:r>
      <w:r>
        <w:rPr>
          <w:rFonts w:eastAsia="Calibri" w:eastAsiaTheme="minorHAnsi"/>
          <w:szCs w:val="24"/>
          <w:lang w:val="sr-RS"/>
        </w:rPr>
        <w:t xml:space="preserve">сталних </w:t>
      </w:r>
      <w:r>
        <w:rPr>
          <w:rFonts w:eastAsia="Calibri" w:eastAsiaTheme="minorHAnsi"/>
          <w:szCs w:val="24"/>
        </w:rPr>
        <w:t>вода, пронос наноса, и сл.</w:t>
      </w:r>
    </w:p>
    <w:p>
      <w:pPr>
        <w:pStyle w:val="Normal"/>
        <w:tabs>
          <w:tab w:val="clear" w:pos="720"/>
          <w:tab w:val="left" w:pos="567" w:leader="none"/>
        </w:tabs>
        <w:suppressAutoHyphens w:val="false"/>
        <w:rPr>
          <w:rFonts w:ascii="Times New Roman" w:hAnsi="Times New Roman"/>
        </w:rPr>
      </w:pPr>
      <w:r>
        <w:rPr>
          <w:szCs w:val="24"/>
        </w:rPr>
        <w:t xml:space="preserve">Простор </w:t>
      </w:r>
      <w:r>
        <w:rPr>
          <w:szCs w:val="24"/>
          <w:lang w:val="sr-RS"/>
        </w:rPr>
        <w:t xml:space="preserve">ППОВ према реци </w:t>
      </w:r>
      <w:r>
        <w:rPr>
          <w:szCs w:val="24"/>
        </w:rPr>
        <w:t xml:space="preserve">оградити и </w:t>
      </w:r>
      <w:r>
        <w:rPr>
          <w:szCs w:val="24"/>
          <w:lang w:val="sr-RS"/>
        </w:rPr>
        <w:t>обрадити</w:t>
      </w:r>
      <w:r>
        <w:rPr>
          <w:szCs w:val="24"/>
        </w:rPr>
        <w:t xml:space="preserve"> као зелену површину </w:t>
      </w:r>
      <w:r>
        <w:rPr>
          <w:szCs w:val="24"/>
          <w:lang w:val="sr-RS"/>
        </w:rPr>
        <w:t xml:space="preserve">затрављену </w:t>
      </w:r>
      <w:r>
        <w:rPr>
          <w:szCs w:val="24"/>
        </w:rPr>
        <w:t xml:space="preserve">са </w:t>
      </w:r>
      <w:r>
        <w:rPr>
          <w:szCs w:val="24"/>
          <w:lang w:val="sr-RS"/>
        </w:rPr>
        <w:t xml:space="preserve">могућим </w:t>
      </w:r>
      <w:r>
        <w:rPr>
          <w:szCs w:val="24"/>
        </w:rPr>
        <w:t xml:space="preserve">ниским - жбунастим растињем, а приступ </w:t>
      </w:r>
      <w:r>
        <w:rPr>
          <w:szCs w:val="24"/>
          <w:lang w:val="sr-RS"/>
        </w:rPr>
        <w:t xml:space="preserve">обали </w:t>
      </w:r>
      <w:r>
        <w:rPr>
          <w:szCs w:val="24"/>
        </w:rPr>
        <w:t xml:space="preserve">обезбедити кроз пешачку капију која се закључава. </w:t>
      </w:r>
    </w:p>
    <w:p>
      <w:pPr>
        <w:pStyle w:val="Normal"/>
        <w:tabs>
          <w:tab w:val="clear" w:pos="720"/>
          <w:tab w:val="left" w:pos="567" w:leader="none"/>
        </w:tabs>
        <w:suppressAutoHyphens w:val="false"/>
        <w:rPr>
          <w:rFonts w:ascii="Times New Roman" w:hAnsi="Times New Roman"/>
        </w:rPr>
      </w:pPr>
      <w:r>
        <w:rPr>
          <w:szCs w:val="24"/>
          <w:lang w:val="sr-RS"/>
        </w:rPr>
        <w:t xml:space="preserve">Никакве друге активности на овом делу водотока Велике реке се не планирају кроз </w:t>
      </w: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w:t>
      </w:r>
      <w:r>
        <w:rPr>
          <w:szCs w:val="24"/>
        </w:rPr>
        <w:t>(графички прилог бр. 2. „Детаљна намена површина са поделом на карактеристичне целине“).</w:t>
      </w:r>
    </w:p>
    <w:p>
      <w:pPr>
        <w:pStyle w:val="Normal"/>
        <w:tabs>
          <w:tab w:val="clear" w:pos="720"/>
          <w:tab w:val="left" w:pos="567" w:leader="none"/>
        </w:tabs>
        <w:suppressAutoHyphens w:val="false"/>
        <w:rPr>
          <w:rFonts w:ascii="Times New Roman" w:hAnsi="Times New Roman"/>
        </w:rPr>
      </w:pPr>
      <w:r>
        <w:rPr/>
      </w:r>
    </w:p>
    <w:p>
      <w:pPr>
        <w:pStyle w:val="ListParagraph"/>
        <w:numPr>
          <w:ilvl w:val="0"/>
          <w:numId w:val="4"/>
        </w:numPr>
        <w:tabs>
          <w:tab w:val="clear" w:pos="720"/>
          <w:tab w:val="left" w:pos="426" w:leader="none"/>
          <w:tab w:val="left" w:pos="709" w:leader="none"/>
        </w:tabs>
        <w:ind w:left="720" w:hanging="720"/>
        <w:rPr>
          <w:rFonts w:ascii="Times New Roman" w:hAnsi="Times New Roman"/>
          <w:b/>
          <w:b/>
          <w:bCs/>
        </w:rPr>
      </w:pPr>
      <w:r>
        <w:rPr>
          <w:b/>
          <w:bCs/>
        </w:rPr>
        <w:t xml:space="preserve">Јавна инфраструктура </w:t>
      </w:r>
      <w:r>
        <w:rPr>
          <w:b/>
          <w:bCs/>
          <w:lang w:val="ru-RU"/>
        </w:rPr>
        <w:t xml:space="preserve"> </w:t>
      </w:r>
    </w:p>
    <w:p>
      <w:pPr>
        <w:pStyle w:val="ListParagraph"/>
        <w:tabs>
          <w:tab w:val="clear" w:pos="720"/>
          <w:tab w:val="left" w:pos="426" w:leader="none"/>
          <w:tab w:val="left" w:pos="709" w:leader="none"/>
        </w:tabs>
        <w:ind w:left="720" w:hanging="720"/>
        <w:rPr>
          <w:rFonts w:ascii="Times New Roman" w:hAnsi="Times New Roman"/>
          <w:lang w:val="ru-RU"/>
        </w:rPr>
      </w:pPr>
      <w:r>
        <w:rPr>
          <w:lang w:val="ru-RU"/>
        </w:rPr>
      </w:r>
    </w:p>
    <w:p>
      <w:pPr>
        <w:pStyle w:val="Style62"/>
        <w:widowControl/>
        <w:tabs>
          <w:tab w:val="clear" w:pos="720"/>
          <w:tab w:val="left" w:pos="709" w:leader="none"/>
        </w:tabs>
        <w:spacing w:lineRule="auto" w:line="240"/>
        <w:ind w:hanging="0"/>
        <w:rPr/>
      </w:pPr>
      <w:r>
        <w:rPr>
          <w:rStyle w:val="FontStyle181"/>
          <w:b/>
          <w:sz w:val="24"/>
          <w:szCs w:val="24"/>
        </w:rPr>
        <w:t xml:space="preserve">2.1. </w:t>
      </w:r>
      <w:r>
        <w:rPr>
          <w:rStyle w:val="FontStyle181"/>
          <w:b/>
          <w:sz w:val="24"/>
          <w:szCs w:val="24"/>
          <w:lang w:val="ru-RU"/>
        </w:rPr>
        <w:t>Електроенергетска мрежа</w:t>
      </w:r>
    </w:p>
    <w:p>
      <w:pPr>
        <w:pStyle w:val="Normal"/>
        <w:ind w:firstLine="720"/>
        <w:rPr>
          <w:rFonts w:ascii="Times New Roman" w:hAnsi="Times New Roman"/>
        </w:rPr>
      </w:pPr>
      <w:r>
        <w:rPr>
          <w:szCs w:val="24"/>
          <w:lang w:val="sr-CS"/>
        </w:rPr>
        <w:t>У</w:t>
      </w:r>
      <w:r>
        <w:rPr>
          <w:rFonts w:eastAsia="Calibri"/>
          <w:szCs w:val="24"/>
          <w:lang w:val="sr-RS"/>
        </w:rPr>
        <w:t xml:space="preserve"> границама захвата плана детаљне регулације за изградњу постројења за пречишћавање отпадних вода насеља Витошевац Општина Ражањ не постоје 10 к</w:t>
      </w:r>
      <w:r>
        <w:rPr>
          <w:rFonts w:eastAsia="Calibri"/>
          <w:szCs w:val="24"/>
        </w:rPr>
        <w:t>V</w:t>
      </w:r>
      <w:r>
        <w:rPr>
          <w:rFonts w:eastAsia="Calibri"/>
          <w:szCs w:val="24"/>
          <w:lang w:val="sr-RS"/>
        </w:rPr>
        <w:t xml:space="preserve"> електроенергетски водови и објекти који су власништво надлежног </w:t>
      </w:r>
      <w:r>
        <w:rPr>
          <w:szCs w:val="24"/>
          <w:lang w:val="sr-CS"/>
        </w:rPr>
        <w:t xml:space="preserve">огранка „Електродистрибуција Крушевац“. </w:t>
      </w:r>
      <w:r>
        <w:rPr>
          <w:rFonts w:eastAsia="Calibri"/>
          <w:szCs w:val="24"/>
          <w:lang w:val="sr-RS"/>
        </w:rPr>
        <w:t>У захвату плана нема изграђених трафостаница 10/0,4 к</w:t>
      </w:r>
      <w:r>
        <w:rPr>
          <w:rFonts w:eastAsia="Calibri"/>
          <w:szCs w:val="24"/>
        </w:rPr>
        <w:t>V</w:t>
      </w:r>
      <w:r>
        <w:rPr>
          <w:rFonts w:eastAsia="Calibri"/>
          <w:szCs w:val="24"/>
          <w:lang w:val="sr-RS"/>
        </w:rPr>
        <w:t xml:space="preserve"> већ се потрошачи у близини захвата плана напајају електричном енергијом из трафостаница које лоциране у суседним парцелама и улицама које гравитирају границама плана. </w:t>
      </w:r>
    </w:p>
    <w:p>
      <w:pPr>
        <w:pStyle w:val="Normal"/>
        <w:ind w:firstLine="720"/>
        <w:rPr>
          <w:rFonts w:ascii="Times New Roman" w:hAnsi="Times New Roman"/>
        </w:rPr>
      </w:pPr>
      <w:r>
        <w:rPr>
          <w:szCs w:val="24"/>
          <w:lang w:val="sr-CS"/>
        </w:rPr>
        <w:t xml:space="preserve">У непосредној близини обухвата плана нема објекта </w:t>
      </w:r>
      <w:r>
        <w:rPr>
          <w:rFonts w:eastAsia="Calibri"/>
          <w:szCs w:val="24"/>
          <w:lang w:val="sr-RS"/>
        </w:rPr>
        <w:t>који су у власништву Електромрежа Србије АД.  Према плану развоја преносног система у непосредној близини и границама обухвата плана није планирана изградња енергетске инфраструктуре која би била у власништву „Електромрежа Србије“.</w:t>
      </w:r>
    </w:p>
    <w:p>
      <w:pPr>
        <w:pStyle w:val="Normal"/>
        <w:ind w:firstLine="720"/>
        <w:rPr>
          <w:rFonts w:ascii="Times New Roman" w:hAnsi="Times New Roman"/>
        </w:rPr>
      </w:pPr>
      <w:r>
        <w:rPr>
          <w:szCs w:val="24"/>
          <w:lang w:val="sr-CS"/>
        </w:rPr>
        <w:t>У</w:t>
      </w:r>
      <w:r>
        <w:rPr>
          <w:rFonts w:eastAsia="Calibri"/>
          <w:szCs w:val="24"/>
          <w:lang w:val="sr-RS"/>
        </w:rPr>
        <w:t xml:space="preserve"> границама захвата  плана детаљне  регулације планирана је изградња </w:t>
      </w:r>
      <w:r>
        <w:rPr>
          <w:rFonts w:eastAsia="Calibri"/>
          <w:szCs w:val="24"/>
          <w:lang w:val="sr-CS"/>
        </w:rPr>
        <w:t xml:space="preserve">10 </w:t>
      </w:r>
      <w:r>
        <w:rPr>
          <w:rFonts w:eastAsia="Calibri"/>
          <w:szCs w:val="24"/>
          <w:lang w:val="sr-Latn-CS"/>
        </w:rPr>
        <w:t>kV</w:t>
      </w:r>
      <w:r>
        <w:rPr>
          <w:rFonts w:eastAsia="Calibri"/>
          <w:szCs w:val="24"/>
          <w:lang w:val="sr-CS"/>
        </w:rPr>
        <w:t xml:space="preserve"> вода са </w:t>
      </w:r>
      <w:r>
        <w:rPr>
          <w:rFonts w:eastAsia="Calibri"/>
          <w:szCs w:val="24"/>
          <w:lang w:val="sr-RS"/>
        </w:rPr>
        <w:t>новопланираном стубном бетонском трафостаницом БСТС 10/0,4 к</w:t>
      </w:r>
      <w:r>
        <w:rPr>
          <w:rFonts w:eastAsia="Calibri"/>
          <w:szCs w:val="24"/>
        </w:rPr>
        <w:t>V</w:t>
      </w:r>
      <w:r>
        <w:rPr>
          <w:rFonts w:eastAsia="Calibri"/>
          <w:szCs w:val="24"/>
          <w:lang w:val="sr-RS"/>
        </w:rPr>
        <w:t>.</w:t>
      </w:r>
      <w:r>
        <w:rPr>
          <w:rFonts w:eastAsia="Calibri"/>
          <w:szCs w:val="24"/>
          <w:lang w:val="sr-CS"/>
        </w:rPr>
        <w:t xml:space="preserve"> </w:t>
      </w:r>
      <w:r>
        <w:rPr>
          <w:rFonts w:eastAsia="Calibri"/>
          <w:szCs w:val="24"/>
          <w:lang w:val="sr-RS"/>
        </w:rPr>
        <w:t xml:space="preserve">Планирање потреба за електричном енергијом извршено је према техничким препорукама бр. 14 (Пословна заједница Електродистрибуције Србије). </w:t>
      </w:r>
    </w:p>
    <w:p>
      <w:pPr>
        <w:pStyle w:val="Normal"/>
        <w:ind w:firstLine="720"/>
        <w:rPr>
          <w:rFonts w:ascii="Times New Roman" w:hAnsi="Times New Roman"/>
        </w:rPr>
      </w:pPr>
      <w:r>
        <w:rPr>
          <w:rFonts w:eastAsia="Calibri"/>
          <w:szCs w:val="24"/>
          <w:lang w:val="ru-RU"/>
        </w:rPr>
        <w:t>На основу ових прорачуна за потребе снабдевања старијих и нових потрошача, препоручује се следећи тип ТС-а.</w:t>
      </w:r>
    </w:p>
    <w:p>
      <w:pPr>
        <w:pStyle w:val="Normal"/>
        <w:ind w:firstLine="720"/>
        <w:rPr>
          <w:rFonts w:ascii="Times New Roman" w:hAnsi="Times New Roman"/>
        </w:rPr>
      </w:pPr>
      <w:r>
        <w:rPr>
          <w:rFonts w:eastAsia="Calibri"/>
          <w:szCs w:val="24"/>
          <w:lang w:val="sr-RS"/>
        </w:rPr>
        <w:t>- за објекте пословања 1</w:t>
      </w:r>
      <w:r>
        <w:rPr>
          <w:rFonts w:eastAsia="Calibri"/>
          <w:szCs w:val="24"/>
          <w:lang w:val="sr-Latn-RS"/>
        </w:rPr>
        <w:t xml:space="preserve"> kom, </w:t>
      </w:r>
      <w:r>
        <w:rPr>
          <w:rFonts w:eastAsia="Calibri"/>
          <w:szCs w:val="24"/>
          <w:lang w:val="sr-RS"/>
        </w:rPr>
        <w:t>која се гради као слободностојећа стубна бетонска БСТС за снагу до 1</w:t>
      </w:r>
      <w:r>
        <w:rPr>
          <w:rFonts w:eastAsia="Calibri"/>
          <w:szCs w:val="24"/>
          <w:lang w:val="sr-Latn-RS"/>
        </w:rPr>
        <w:t>x</w:t>
      </w:r>
      <w:r>
        <w:rPr>
          <w:rFonts w:eastAsia="Calibri"/>
          <w:szCs w:val="24"/>
          <w:lang w:val="sr-RS"/>
        </w:rPr>
        <w:t>250</w:t>
      </w:r>
      <w:r>
        <w:rPr>
          <w:rFonts w:eastAsia="Calibri"/>
          <w:szCs w:val="24"/>
          <w:lang w:val="sr-Latn-RS"/>
        </w:rPr>
        <w:t xml:space="preserve"> kVA</w:t>
      </w:r>
      <w:r>
        <w:rPr>
          <w:rFonts w:eastAsia="Calibri"/>
          <w:szCs w:val="24"/>
          <w:lang w:val="sr-RS"/>
        </w:rPr>
        <w:t xml:space="preserve">. </w:t>
      </w:r>
    </w:p>
    <w:p>
      <w:pPr>
        <w:pStyle w:val="Normal"/>
        <w:ind w:firstLine="720"/>
        <w:rPr>
          <w:rFonts w:ascii="Times New Roman" w:hAnsi="Times New Roman"/>
        </w:rPr>
      </w:pPr>
      <w:r>
        <w:rPr>
          <w:rFonts w:eastAsia="Calibri"/>
          <w:szCs w:val="24"/>
          <w:lang w:val="ru-RU"/>
        </w:rPr>
        <w:t xml:space="preserve">Начин повезивања (техничко решење), трафостаница биће условљено редоследом градње и условима надлежне Електродистрибуције. </w:t>
      </w:r>
      <w:r>
        <w:rPr>
          <w:rFonts w:eastAsia="Calibri"/>
          <w:szCs w:val="24"/>
          <w:lang w:val="sr-RS"/>
        </w:rPr>
        <w:t xml:space="preserve">Потребно је израдити нов 10 </w:t>
      </w:r>
      <w:r>
        <w:rPr>
          <w:rFonts w:eastAsia="Calibri"/>
          <w:szCs w:val="24"/>
          <w:lang w:val="sr-Latn-RS"/>
        </w:rPr>
        <w:t>kV</w:t>
      </w:r>
      <w:r>
        <w:rPr>
          <w:rFonts w:eastAsia="Calibri"/>
          <w:szCs w:val="24"/>
        </w:rPr>
        <w:t xml:space="preserve"> </w:t>
      </w:r>
      <w:r>
        <w:rPr>
          <w:rFonts w:eastAsia="Calibri"/>
          <w:szCs w:val="24"/>
          <w:lang w:val="sr-RS"/>
        </w:rPr>
        <w:t xml:space="preserve">вод по новопланираној траси, која мора бити подземна. </w:t>
      </w:r>
      <w:r>
        <w:rPr>
          <w:rFonts w:eastAsia="Calibri"/>
          <w:szCs w:val="24"/>
          <w:lang w:val="ru-RU"/>
        </w:rPr>
        <w:t>Инсталисану снагу у трафостаници дефинисати локацијском дозволом, према конкретној намени објекта, по захтеву инвеститора, а на основу врсте, категорије и локације потрошача, као и потребне снаге за исте. Локација ТС се одређује поред улице (на приступном месту) и што ближе центру потрошње ел. енергије. Мора бити обезбеђен прилаз трафостаници теретним возилом, са хидрауличном дизалицом а због могућности интервенције на трансформатору. Мора се оставити пролаз за провлачење 8 нисконапонских и два средњенапонска кабла без разбијања евентуално постављеног бетона, асфалта и слично. Свака градња условљена је „Правилником о техничким нормативима за изградњу надземних електроенергетских водова називног напона од 1 до 400 к</w:t>
      </w:r>
      <w:r>
        <w:rPr>
          <w:rFonts w:eastAsia="Calibri"/>
          <w:szCs w:val="24"/>
        </w:rPr>
        <w:t>V</w:t>
      </w:r>
      <w:r>
        <w:rPr>
          <w:rFonts w:eastAsia="Calibri"/>
          <w:szCs w:val="24"/>
          <w:lang w:val="ru-RU"/>
        </w:rPr>
        <w:t>, као и правилником о границама излагања о нејонизујућим зрачењима. За купце електричне енергије већих снага предвидети искључиво подземну мрежу - прикључке, а за купце електричне енергије из категорије широка потрошња (појединачни стамбени и пословни простор) предвидети прикључке за надземне мреже изведене самоносивим кабловским снопом одговарајућег пресека.</w:t>
      </w:r>
    </w:p>
    <w:p>
      <w:pPr>
        <w:pStyle w:val="Normal"/>
        <w:ind w:firstLine="720"/>
        <w:rPr>
          <w:rFonts w:ascii="Times New Roman" w:hAnsi="Times New Roman"/>
        </w:rPr>
      </w:pPr>
      <w:r>
        <w:rPr>
          <w:rFonts w:eastAsia="Calibri"/>
          <w:szCs w:val="24"/>
          <w:lang w:val="ru-RU"/>
        </w:rPr>
        <w:t>Мрежу 0,4</w:t>
      </w:r>
      <w:r>
        <w:rPr>
          <w:rFonts w:eastAsia="Calibri"/>
          <w:szCs w:val="24"/>
        </w:rPr>
        <w:t>kV</w:t>
      </w:r>
      <w:r>
        <w:rPr>
          <w:rFonts w:eastAsia="Calibri"/>
          <w:szCs w:val="24"/>
          <w:lang w:val="ru-RU"/>
        </w:rPr>
        <w:t xml:space="preserve"> задржати у постојећој концепцији подземна или надземна са СКС одговарајућег пресека на бетонским сгубовима, типом и пресеком кабла дефинисаним главним пројектом. </w:t>
      </w:r>
    </w:p>
    <w:p>
      <w:pPr>
        <w:pStyle w:val="Style62"/>
        <w:widowControl/>
        <w:tabs>
          <w:tab w:val="clear" w:pos="720"/>
          <w:tab w:val="left" w:pos="709" w:leader="none"/>
        </w:tabs>
        <w:spacing w:lineRule="auto" w:line="240"/>
        <w:ind w:hanging="0"/>
        <w:rPr>
          <w:rFonts w:ascii="Times New Roman" w:hAnsi="Times New Roman"/>
        </w:rPr>
      </w:pPr>
      <w:r>
        <w:rPr>
          <w:color w:val="FF0000"/>
          <w:lang w:val="sr-CS"/>
        </w:rPr>
        <w:tab/>
      </w:r>
      <w:r>
        <w:rPr>
          <w:lang w:val="sr-CS"/>
        </w:rPr>
        <w:t xml:space="preserve">Инсталацију осветљења саобраћајнице извести у простору тротоара а избор врсте и висине стубова и типова светиљки према постојећој концепцији. </w:t>
      </w:r>
    </w:p>
    <w:p>
      <w:pPr>
        <w:pStyle w:val="Style62"/>
        <w:widowControl/>
        <w:tabs>
          <w:tab w:val="clear" w:pos="720"/>
          <w:tab w:val="left" w:pos="709" w:leader="none"/>
        </w:tabs>
        <w:spacing w:lineRule="auto" w:line="240"/>
        <w:ind w:hanging="0"/>
        <w:rPr>
          <w:rFonts w:ascii="Times New Roman" w:hAnsi="Times New Roman"/>
        </w:rPr>
      </w:pPr>
      <w:r>
        <w:rPr>
          <w:lang w:val="sr-CS"/>
        </w:rPr>
        <w:t xml:space="preserve"> </w:t>
      </w:r>
    </w:p>
    <w:p>
      <w:pPr>
        <w:pStyle w:val="Style62"/>
        <w:widowControl/>
        <w:tabs>
          <w:tab w:val="clear" w:pos="720"/>
          <w:tab w:val="left" w:pos="709" w:leader="none"/>
        </w:tabs>
        <w:spacing w:lineRule="auto" w:line="240"/>
        <w:ind w:hanging="0"/>
        <w:rPr>
          <w:rFonts w:ascii="Times New Roman" w:hAnsi="Times New Roman"/>
        </w:rPr>
      </w:pPr>
      <w:r>
        <w:rPr/>
      </w:r>
    </w:p>
    <w:p>
      <w:pPr>
        <w:pStyle w:val="Default"/>
        <w:jc w:val="both"/>
        <w:rPr/>
      </w:pPr>
      <w:r>
        <w:rPr>
          <w:rStyle w:val="FontStyle181"/>
          <w:b/>
          <w:color w:val="auto"/>
          <w:sz w:val="24"/>
          <w:szCs w:val="24"/>
        </w:rPr>
        <w:t xml:space="preserve">2.2. </w:t>
      </w:r>
      <w:r>
        <w:rPr>
          <w:rStyle w:val="FontStyle181"/>
          <w:b/>
          <w:color w:val="auto"/>
          <w:sz w:val="24"/>
          <w:szCs w:val="24"/>
          <w:lang w:val="ru-RU"/>
        </w:rPr>
        <w:t>Телекомуникациона мрежа</w:t>
      </w:r>
    </w:p>
    <w:p>
      <w:pPr>
        <w:pStyle w:val="Normal"/>
        <w:rPr/>
      </w:pPr>
      <w:r>
        <w:rPr>
          <w:rStyle w:val="FontStyle181"/>
          <w:sz w:val="24"/>
          <w:szCs w:val="24"/>
          <w:lang w:val="sr-Latn-CS"/>
        </w:rPr>
        <w:tab/>
      </w:r>
      <w:r>
        <w:rPr>
          <w:rFonts w:eastAsia="Calibri"/>
          <w:szCs w:val="24"/>
          <w:lang w:val="ru-RU"/>
        </w:rPr>
        <w:t xml:space="preserve">У захвату </w:t>
      </w:r>
      <w:r>
        <w:rPr>
          <w:rFonts w:eastAsia="Calibri"/>
          <w:szCs w:val="24"/>
          <w:lang w:val="sr-RS"/>
        </w:rPr>
        <w:t>плана детаљне регулације за изградњу постројења за пречишћавање отпадних вода насеља Витошевац Општина Ражањ не постоји изграђена ТК инфрастуктура. Инфраструктура је у близини и састоји од подземне кабловске мреже оптичким и бакарним кабловима у рову. У захвату плана нема изграђених базних станица мобилних оператера.</w:t>
      </w:r>
    </w:p>
    <w:p>
      <w:pPr>
        <w:pStyle w:val="Style62"/>
        <w:widowControl/>
        <w:tabs>
          <w:tab w:val="left" w:pos="720" w:leader="none"/>
        </w:tabs>
        <w:spacing w:lineRule="auto" w:line="240" w:before="5" w:after="0"/>
        <w:ind w:hanging="0"/>
        <w:rPr>
          <w:rFonts w:ascii="Times New Roman" w:hAnsi="Times New Roman"/>
        </w:rPr>
      </w:pPr>
      <w:r>
        <w:rPr>
          <w:rFonts w:eastAsia="Calibri"/>
          <w:lang w:val="ru-RU"/>
        </w:rPr>
        <w:tab/>
        <w:t>Планиране потребе за будуће претплатнике се крећу по постојећем коридору дуж саобраћајнице. Планирана телекомуникациона инфраструктура, ормани и привод биће условљене према конкретној намени објекта по захтеву инвеститора, а на основу врсте, категорије и локације потрошача, а према издатим условима надлежног предузећа Телекома Србије.</w:t>
      </w:r>
    </w:p>
    <w:p>
      <w:pPr>
        <w:pStyle w:val="Normal"/>
        <w:rPr>
          <w:rFonts w:ascii="Times New Roman" w:hAnsi="Times New Roman"/>
        </w:rPr>
      </w:pPr>
      <w:r>
        <w:rPr>
          <w:rFonts w:eastAsia="Calibri"/>
          <w:szCs w:val="24"/>
          <w:lang w:val="ru-RU"/>
        </w:rPr>
        <w:tab/>
      </w:r>
      <w:r>
        <w:rPr>
          <w:rFonts w:eastAsia="TimesNewRoman"/>
          <w:szCs w:val="24"/>
          <w:lang w:val="sr-Latn-RS"/>
        </w:rPr>
        <w:t xml:space="preserve">За полагање </w:t>
      </w:r>
      <w:r>
        <w:rPr>
          <w:rFonts w:eastAsia="TimesNewRoman"/>
          <w:szCs w:val="24"/>
          <w:lang w:val="sr-RS"/>
        </w:rPr>
        <w:t xml:space="preserve">оптичких или бакарних каблова </w:t>
      </w:r>
      <w:r>
        <w:rPr>
          <w:rFonts w:eastAsia="TimesNewRoman"/>
          <w:szCs w:val="24"/>
          <w:lang w:val="sr-Latn-RS"/>
        </w:rPr>
        <w:t>у ров полагати полиетиленске цеви пречника 40 mm,</w:t>
      </w:r>
      <w:r>
        <w:rPr>
          <w:rFonts w:eastAsia="TimesNewRoman"/>
          <w:szCs w:val="24"/>
          <w:lang w:val="sr-RS"/>
        </w:rPr>
        <w:t xml:space="preserve"> </w:t>
      </w:r>
      <w:r>
        <w:rPr>
          <w:rFonts w:eastAsia="TimesNewRoman"/>
          <w:szCs w:val="24"/>
          <w:lang w:val="sr-Latn-RS"/>
        </w:rPr>
        <w:t>које ће послужити као заштита или резерва за касније "удувавање" кабла.</w:t>
      </w:r>
      <w:r>
        <w:rPr>
          <w:rFonts w:eastAsia="TimesNewRoman"/>
          <w:szCs w:val="24"/>
          <w:lang w:val="sr-RS"/>
        </w:rPr>
        <w:t xml:space="preserve"> </w:t>
      </w:r>
      <w:r>
        <w:rPr>
          <w:rFonts w:eastAsia="TimesNewRoman"/>
          <w:szCs w:val="24"/>
          <w:lang w:val="sr-Latn-RS"/>
        </w:rPr>
        <w:t>Наведени телекомуникациони објекти спадају у објекте за које се не издаје</w:t>
      </w:r>
      <w:r>
        <w:rPr>
          <w:rFonts w:eastAsia="TimesNewRoman"/>
          <w:szCs w:val="24"/>
          <w:lang w:val="sr-RS"/>
        </w:rPr>
        <w:t xml:space="preserve"> </w:t>
      </w:r>
      <w:r>
        <w:rPr>
          <w:rFonts w:eastAsia="TimesNewRoman"/>
          <w:szCs w:val="24"/>
          <w:lang w:val="sr-Latn-RS"/>
        </w:rPr>
        <w:t>грађевинска дозвола већ се радови врше на основу решења којим се одобрава извођење</w:t>
      </w:r>
      <w:r>
        <w:rPr>
          <w:rFonts w:eastAsia="TimesNewRoman"/>
          <w:szCs w:val="24"/>
          <w:lang w:val="sr-RS"/>
        </w:rPr>
        <w:t xml:space="preserve"> </w:t>
      </w:r>
      <w:r>
        <w:rPr>
          <w:rFonts w:eastAsia="TimesNewRoman"/>
          <w:szCs w:val="24"/>
          <w:lang w:val="sr-Latn-RS"/>
        </w:rPr>
        <w:t>радова. Oво је могуће за издавање решења за истурене комутационе степене и за</w:t>
      </w:r>
      <w:r>
        <w:rPr>
          <w:rFonts w:eastAsia="TimesNewRoman"/>
          <w:szCs w:val="24"/>
          <w:lang w:val="sr-RS"/>
        </w:rPr>
        <w:t xml:space="preserve"> </w:t>
      </w:r>
      <w:r>
        <w:rPr>
          <w:rFonts w:eastAsia="TimesNewRoman"/>
          <w:szCs w:val="24"/>
          <w:lang w:val="sr-Latn-RS"/>
        </w:rPr>
        <w:t>деонице каблова који нису дати на графичком прилогу, ако инвеститор обезбеди</w:t>
      </w:r>
      <w:r>
        <w:rPr>
          <w:rFonts w:eastAsia="TimesNewRoman"/>
          <w:szCs w:val="24"/>
          <w:lang w:val="sr-RS"/>
        </w:rPr>
        <w:t xml:space="preserve"> </w:t>
      </w:r>
      <w:r>
        <w:rPr>
          <w:rFonts w:eastAsia="TimesNewRoman"/>
          <w:szCs w:val="24"/>
          <w:lang w:val="sr-Latn-RS"/>
        </w:rPr>
        <w:t>документацију предвиђену законом.</w:t>
      </w:r>
    </w:p>
    <w:p>
      <w:pPr>
        <w:pStyle w:val="Style62"/>
        <w:widowControl/>
        <w:tabs>
          <w:tab w:val="left" w:pos="720" w:leader="none"/>
        </w:tabs>
        <w:spacing w:lineRule="auto" w:line="240" w:before="5" w:after="0"/>
        <w:ind w:hanging="0"/>
        <w:rPr>
          <w:rFonts w:ascii="Times New Roman" w:hAnsi="Times New Roman"/>
        </w:rPr>
      </w:pPr>
      <w:r>
        <w:rPr>
          <w:rFonts w:eastAsia="Calibri"/>
          <w:lang w:val="sr-RS"/>
        </w:rPr>
        <w:tab/>
        <w:t xml:space="preserve">Приликом планирања обухватити обезбеђвање постојеће ТК структуре и планирати нове објекте које их неће угрозити. У фази припреме за почетак радова обезбедити присуство представника Телекома. Приликом реконструкције улица вршити и реконструкцију постојеће или изградње нове ТК мреже, а прелаксом преко улице обезбедии </w:t>
      </w:r>
      <w:r>
        <w:rPr>
          <w:rFonts w:eastAsia="Calibri"/>
        </w:rPr>
        <w:t>PEHD</w:t>
      </w:r>
      <w:r>
        <w:rPr>
          <w:rFonts w:eastAsia="Calibri"/>
          <w:lang w:val="ru-RU"/>
        </w:rPr>
        <w:t xml:space="preserve"> </w:t>
      </w:r>
      <w:r>
        <w:rPr>
          <w:rFonts w:eastAsia="Calibri"/>
          <w:lang w:val="sr-RS"/>
        </w:rPr>
        <w:t xml:space="preserve">цеви </w:t>
      </w:r>
      <w:r>
        <w:rPr>
          <w:rFonts w:eastAsia="Calibri" w:cs="Times New Roman"/>
          <w:color w:val="auto"/>
          <w:kern w:val="0"/>
          <w:sz w:val="24"/>
          <w:szCs w:val="24"/>
          <w:lang w:val="sr-RS" w:eastAsia="en-US" w:bidi="ar-SA"/>
        </w:rPr>
        <w:t>Ф</w:t>
      </w:r>
      <w:r>
        <w:rPr>
          <w:rFonts w:eastAsia="Calibri"/>
          <w:lang w:val="sr-RS"/>
        </w:rPr>
        <w:t xml:space="preserve">110 </w:t>
      </w:r>
      <w:r>
        <w:rPr>
          <w:rFonts w:eastAsia="Calibri"/>
          <w:lang w:val="sr-Latn-RS"/>
        </w:rPr>
        <w:t>mm</w:t>
      </w:r>
      <w:r>
        <w:rPr>
          <w:rFonts w:eastAsia="Calibri"/>
          <w:lang w:val="sr-RS"/>
        </w:rPr>
        <w:t xml:space="preserve"> за прелазак на другу страну улице. Обавезна је израда синхрон плана коридора ТК мреже са коридорима осталих инсталација да би се обезбедила могућност несметаних постављања свих инсталација. </w:t>
      </w:r>
    </w:p>
    <w:p>
      <w:pPr>
        <w:pStyle w:val="Style62"/>
        <w:widowControl/>
        <w:tabs>
          <w:tab w:val="left" w:pos="720" w:leader="none"/>
        </w:tabs>
        <w:spacing w:lineRule="auto" w:line="240" w:before="5" w:after="0"/>
        <w:ind w:hanging="0"/>
        <w:rPr>
          <w:rFonts w:ascii="Times New Roman" w:hAnsi="Times New Roman"/>
        </w:rPr>
      </w:pPr>
      <w:r>
        <w:rPr>
          <w:rFonts w:eastAsia="Calibri"/>
          <w:lang w:val="sr-RS"/>
        </w:rPr>
        <w:tab/>
      </w:r>
      <w:r>
        <w:rPr>
          <w:rFonts w:eastAsia="Calibri"/>
          <w:lang w:val="ru-RU"/>
        </w:rPr>
        <w:t xml:space="preserve">Циљ планирања изградње оваквог типа приступне мреже нове генерације НГН мрежа треба да обезбеди дигиталне линије различитих протока, брзи приступ интернету, интегрисани пренос гласа , података и видео сигнала, бежичне приступне мреже,  једноставно одржавање и експлоатацију, компактност и поузданост. </w:t>
      </w:r>
    </w:p>
    <w:p>
      <w:pPr>
        <w:pStyle w:val="Style62"/>
        <w:widowControl/>
        <w:tabs>
          <w:tab w:val="left" w:pos="720" w:leader="none"/>
        </w:tabs>
        <w:spacing w:lineRule="auto" w:line="240"/>
        <w:ind w:left="720" w:hanging="0"/>
        <w:rPr>
          <w:rFonts w:ascii="Times New Roman" w:hAnsi="Times New Roman" w:eastAsia="Calibri"/>
        </w:rPr>
      </w:pPr>
      <w:r>
        <w:rPr>
          <w:rFonts w:eastAsia="Calibri"/>
        </w:rPr>
      </w:r>
    </w:p>
    <w:p>
      <w:pPr>
        <w:pStyle w:val="Normal"/>
        <w:suppressAutoHyphens w:val="false"/>
        <w:spacing w:lineRule="auto" w:line="276"/>
        <w:jc w:val="left"/>
        <w:rPr>
          <w:rFonts w:ascii="Times New Roman" w:hAnsi="Times New Roman"/>
        </w:rPr>
      </w:pPr>
      <w:r>
        <w:rPr>
          <w:rFonts w:eastAsia="Calibri" w:eastAsiaTheme="minorHAnsi"/>
          <w:b/>
          <w:szCs w:val="24"/>
        </w:rPr>
        <w:t>2.3. Водоводна мрежа</w:t>
      </w:r>
    </w:p>
    <w:p>
      <w:pPr>
        <w:pStyle w:val="Normal"/>
        <w:suppressAutoHyphens w:val="false"/>
        <w:spacing w:lineRule="auto" w:line="276"/>
        <w:ind w:firstLine="720"/>
        <w:rPr>
          <w:rFonts w:ascii="Times New Roman" w:hAnsi="Times New Roman"/>
        </w:rPr>
      </w:pPr>
      <w:r>
        <w:rPr>
          <w:rFonts w:eastAsia="Calibri" w:eastAsiaTheme="minorHAnsi"/>
          <w:szCs w:val="24"/>
          <w:lang w:val="sr-RS"/>
        </w:rPr>
        <w:t xml:space="preserve">У обухвату Плана не постоји изграђена водоводна мрежа. Просторним планом општине Ражањ планиран је цевовод примарне мреже Ø150 mm дуж државног пута другог "Б" реда број 420. Након изградње примарне мреже биће могуће прикључење секундарног вода који је планиран дуж локалног пута са северне стране локације ППОВ. Са овог цевовода планира се прикључак за потребе постојења за пречишћавање отпадних вода. Оријентациона траса цевовода је приказана на графичком прилогу а тачна ће се дефинисати израдом техничке документације, тако да промена трасе неће представљати измену Плана. </w:t>
      </w:r>
    </w:p>
    <w:p>
      <w:pPr>
        <w:pStyle w:val="Normal"/>
        <w:suppressAutoHyphens w:val="false"/>
        <w:spacing w:lineRule="auto" w:line="276"/>
        <w:rPr>
          <w:rFonts w:ascii="Times New Roman" w:hAnsi="Times New Roman" w:eastAsia="Calibri" w:eastAsiaTheme="minorHAnsi"/>
          <w:b/>
          <w:b/>
          <w:szCs w:val="24"/>
        </w:rPr>
      </w:pPr>
      <w:r>
        <w:rPr>
          <w:rFonts w:eastAsia="Calibri" w:eastAsiaTheme="minorHAnsi"/>
          <w:b/>
          <w:szCs w:val="24"/>
        </w:rPr>
      </w:r>
    </w:p>
    <w:p>
      <w:pPr>
        <w:pStyle w:val="Normal"/>
        <w:suppressAutoHyphens w:val="false"/>
        <w:spacing w:lineRule="auto" w:line="276"/>
        <w:rPr>
          <w:rFonts w:ascii="Times New Roman" w:hAnsi="Times New Roman"/>
        </w:rPr>
      </w:pPr>
      <w:bookmarkStart w:id="29" w:name="_Hlk153357274"/>
      <w:bookmarkEnd w:id="29"/>
      <w:r>
        <w:rPr>
          <w:rFonts w:eastAsia="Calibri" w:eastAsiaTheme="minorHAnsi"/>
          <w:b/>
          <w:szCs w:val="24"/>
        </w:rPr>
        <w:t>2.4. Канализациона мрежа</w:t>
      </w:r>
    </w:p>
    <w:p>
      <w:pPr>
        <w:pStyle w:val="Normal"/>
        <w:suppressAutoHyphens w:val="false"/>
        <w:spacing w:lineRule="auto" w:line="276" w:before="0" w:after="200"/>
        <w:ind w:firstLine="720"/>
        <w:rPr>
          <w:rFonts w:ascii="Times New Roman" w:hAnsi="Times New Roman"/>
        </w:rPr>
      </w:pPr>
      <w:bookmarkStart w:id="30" w:name="_Hlk1533572741"/>
      <w:bookmarkEnd w:id="30"/>
      <w:r>
        <w:rPr>
          <w:rFonts w:eastAsia="Calibri" w:eastAsiaTheme="minorHAnsi"/>
          <w:szCs w:val="24"/>
          <w:lang w:val="sr-RS"/>
        </w:rPr>
        <w:t>Колектор који треба да допреми отпадну воду из насеља Витошевац до планираног постројења за пречишћавање отпадних вода које је предмет Плана, само је делимично у планском обухвату. Траса колектора преузета је из пројектне документације израђене од стране</w:t>
      </w:r>
      <w:r>
        <w:rPr>
          <w:rFonts w:eastAsia="Calibri" w:eastAsiaTheme="minorHAnsi"/>
          <w:color w:val="FF0000"/>
          <w:szCs w:val="24"/>
          <w:lang w:val="sr-RS"/>
        </w:rPr>
        <w:t xml:space="preserve"> </w:t>
      </w:r>
      <w:r>
        <w:rPr>
          <w:rFonts w:eastAsia="Calibri" w:eastAsiaTheme="minorHAnsi"/>
          <w:szCs w:val="24"/>
          <w:lang w:val="sr-RS"/>
        </w:rPr>
        <w:t>"</w:t>
      </w:r>
      <w:r>
        <w:rPr>
          <w:rFonts w:eastAsia="Calibri" w:eastAsiaTheme="minorHAnsi"/>
          <w:szCs w:val="24"/>
          <w:lang w:val="sr-Latn-RS"/>
        </w:rPr>
        <w:t>Wiga project groupe" d.o.o.</w:t>
      </w:r>
      <w:r>
        <w:rPr>
          <w:rFonts w:eastAsia="Calibri" w:eastAsiaTheme="minorHAnsi"/>
          <w:szCs w:val="24"/>
          <w:lang w:val="sr-RS"/>
        </w:rPr>
        <w:t xml:space="preserve"> </w:t>
      </w:r>
      <w:r>
        <w:rPr>
          <w:rFonts w:eastAsia="Calibri" w:eastAsiaTheme="minorHAnsi"/>
          <w:szCs w:val="24"/>
          <w:lang w:val="sr-Latn-RS"/>
        </w:rPr>
        <w:t xml:space="preserve"> (202</w:t>
      </w:r>
      <w:r>
        <w:rPr>
          <w:rFonts w:eastAsia="Calibri" w:eastAsiaTheme="minorHAnsi"/>
          <w:szCs w:val="24"/>
          <w:lang w:val="sr-RS"/>
        </w:rPr>
        <w:t>3</w:t>
      </w:r>
      <w:r>
        <w:rPr>
          <w:rFonts w:eastAsia="Calibri" w:eastAsiaTheme="minorHAnsi"/>
          <w:szCs w:val="24"/>
          <w:lang w:val="sr-Latn-RS"/>
        </w:rPr>
        <w:t xml:space="preserve">. </w:t>
      </w:r>
      <w:r>
        <w:rPr>
          <w:rFonts w:eastAsia="Calibri" w:eastAsiaTheme="minorHAnsi"/>
          <w:szCs w:val="24"/>
          <w:lang w:val="sr-RS"/>
        </w:rPr>
        <w:t>године) и налази се дуж локалног пута до локације постројења. Траса унутар комплекса оријентационо је приказана на графичком прилогу а тачна ће се дефинисати израдом техничке документације, тако да промена трасе неће представљати измену Плана.</w:t>
      </w:r>
    </w:p>
    <w:p>
      <w:pPr>
        <w:pStyle w:val="Normal"/>
        <w:suppressAutoHyphens w:val="false"/>
        <w:spacing w:lineRule="auto" w:line="276"/>
        <w:rPr>
          <w:rFonts w:ascii="Times New Roman" w:hAnsi="Times New Roman"/>
        </w:rPr>
      </w:pPr>
      <w:r>
        <w:rPr>
          <w:rFonts w:eastAsia="Calibri" w:eastAsiaTheme="minorHAnsi"/>
          <w:szCs w:val="24"/>
          <w:lang w:val="sr-RS"/>
        </w:rPr>
        <w:t>Цевовод који ће пречишћене воде из постројења одвести до реципијента, Велике реке, планиран је унутар комплекса,</w:t>
      </w:r>
      <w:r>
        <w:rPr>
          <w:rFonts w:eastAsia="Calibri" w:cs="" w:cstheme="minorBidi" w:eastAsiaTheme="minorHAnsi"/>
          <w:sz w:val="22"/>
          <w:lang w:val="sr-Latn-RS"/>
        </w:rPr>
        <w:t xml:space="preserve"> </w:t>
      </w:r>
      <w:r>
        <w:rPr>
          <w:rFonts w:eastAsia="Calibri" w:eastAsiaTheme="minorHAnsi"/>
          <w:szCs w:val="24"/>
          <w:lang w:val="sr-RS"/>
        </w:rPr>
        <w:t>најнижим делом терена, преко катастарских парцела број: 5232 и 5231 КО Витошевац. Траса цевовода може одступити од планиране приликом израде техничке документације, уколико то захтева распоред објеката постројења и хидролошки услови.  Изливна грађевина лоцирана је на десној обали Велике реке и потребно је да обезбеди несметано отицање пречишћених вода при малим и великим меродавним водама Велике реке. У том смислу пре израде техничке документације за постројење, цевовод и изливну грађевину потребно је утврдити карактеристике реципијента кроз израду хидролошко-хидрауличке студије Велике реке.</w:t>
      </w:r>
      <w:r>
        <w:rPr>
          <w:rFonts w:eastAsia="Calibri" w:eastAsiaTheme="minorHAnsi"/>
          <w:szCs w:val="24"/>
        </w:rPr>
        <w:t xml:space="preserve"> Изградња </w:t>
      </w:r>
      <w:bookmarkStart w:id="31" w:name="_Hlk130549847"/>
      <w:r>
        <w:rPr>
          <w:rFonts w:eastAsia="Calibri" w:eastAsiaTheme="minorHAnsi"/>
          <w:szCs w:val="24"/>
        </w:rPr>
        <w:t xml:space="preserve">атмосферске </w:t>
      </w:r>
      <w:bookmarkEnd w:id="31"/>
      <w:r>
        <w:rPr>
          <w:rFonts w:eastAsia="Calibri" w:eastAsiaTheme="minorHAnsi"/>
          <w:szCs w:val="24"/>
        </w:rPr>
        <w:t xml:space="preserve">канализације  у приступној саобраћајници није планирана. Зато је потребно да се при пројектовању ППОВ у границама комплекса планира </w:t>
      </w:r>
      <w:r>
        <w:rPr>
          <w:spacing w:val="1"/>
          <w:szCs w:val="24"/>
        </w:rPr>
        <w:t>п</w:t>
      </w:r>
      <w:r>
        <w:rPr>
          <w:szCs w:val="24"/>
        </w:rPr>
        <w:t>р</w:t>
      </w:r>
      <w:r>
        <w:rPr>
          <w:spacing w:val="1"/>
          <w:szCs w:val="24"/>
        </w:rPr>
        <w:t>ик</w:t>
      </w:r>
      <w:r>
        <w:rPr>
          <w:szCs w:val="24"/>
        </w:rPr>
        <w:t>у</w:t>
      </w:r>
      <w:r>
        <w:rPr>
          <w:spacing w:val="-1"/>
          <w:szCs w:val="24"/>
        </w:rPr>
        <w:t>п</w:t>
      </w:r>
      <w:r>
        <w:rPr>
          <w:szCs w:val="24"/>
        </w:rPr>
        <w:t>љ</w:t>
      </w:r>
      <w:r>
        <w:rPr>
          <w:spacing w:val="-1"/>
          <w:szCs w:val="24"/>
        </w:rPr>
        <w:t>а</w:t>
      </w:r>
      <w:r>
        <w:rPr>
          <w:szCs w:val="24"/>
        </w:rPr>
        <w:t xml:space="preserve">је </w:t>
      </w:r>
      <w:r>
        <w:rPr>
          <w:rFonts w:eastAsia="Calibri" w:eastAsiaTheme="minorHAnsi"/>
          <w:szCs w:val="24"/>
        </w:rPr>
        <w:t xml:space="preserve">атмосферских вода </w:t>
      </w:r>
      <w:r>
        <w:rPr>
          <w:szCs w:val="24"/>
        </w:rPr>
        <w:t>са</w:t>
      </w:r>
      <w:r>
        <w:rPr>
          <w:spacing w:val="-1"/>
          <w:szCs w:val="24"/>
        </w:rPr>
        <w:t xml:space="preserve"> с</w:t>
      </w:r>
      <w:r>
        <w:rPr>
          <w:szCs w:val="24"/>
        </w:rPr>
        <w:t xml:space="preserve">вих </w:t>
      </w:r>
      <w:r>
        <w:rPr>
          <w:spacing w:val="1"/>
          <w:szCs w:val="24"/>
        </w:rPr>
        <w:t>м</w:t>
      </w:r>
      <w:r>
        <w:rPr>
          <w:spacing w:val="-1"/>
          <w:szCs w:val="24"/>
        </w:rPr>
        <w:t>а</w:t>
      </w:r>
      <w:r>
        <w:rPr>
          <w:spacing w:val="1"/>
          <w:szCs w:val="24"/>
        </w:rPr>
        <w:t>нип</w:t>
      </w:r>
      <w:r>
        <w:rPr>
          <w:szCs w:val="24"/>
        </w:rPr>
        <w:t>ул</w:t>
      </w:r>
      <w:r>
        <w:rPr>
          <w:spacing w:val="-1"/>
          <w:szCs w:val="24"/>
        </w:rPr>
        <w:t>а</w:t>
      </w:r>
      <w:r>
        <w:rPr>
          <w:szCs w:val="24"/>
        </w:rPr>
        <w:t>т</w:t>
      </w:r>
      <w:r>
        <w:rPr>
          <w:spacing w:val="2"/>
          <w:szCs w:val="24"/>
        </w:rPr>
        <w:t>и</w:t>
      </w:r>
      <w:r>
        <w:rPr>
          <w:spacing w:val="-3"/>
          <w:szCs w:val="24"/>
        </w:rPr>
        <w:t>в</w:t>
      </w:r>
      <w:r>
        <w:rPr>
          <w:spacing w:val="1"/>
          <w:szCs w:val="24"/>
        </w:rPr>
        <w:t>ни</w:t>
      </w:r>
      <w:r>
        <w:rPr>
          <w:szCs w:val="24"/>
        </w:rPr>
        <w:t xml:space="preserve">х </w:t>
      </w:r>
      <w:r>
        <w:rPr>
          <w:spacing w:val="1"/>
          <w:szCs w:val="24"/>
        </w:rPr>
        <w:t>п</w:t>
      </w:r>
      <w:r>
        <w:rPr>
          <w:szCs w:val="24"/>
        </w:rPr>
        <w:t>овр</w:t>
      </w:r>
      <w:r>
        <w:rPr>
          <w:spacing w:val="-3"/>
          <w:szCs w:val="24"/>
        </w:rPr>
        <w:t>ш</w:t>
      </w:r>
      <w:r>
        <w:rPr>
          <w:spacing w:val="1"/>
          <w:szCs w:val="24"/>
        </w:rPr>
        <w:t>ин</w:t>
      </w:r>
      <w:r>
        <w:rPr>
          <w:spacing w:val="-3"/>
          <w:szCs w:val="24"/>
        </w:rPr>
        <w:t>а</w:t>
      </w:r>
      <w:r>
        <w:rPr>
          <w:szCs w:val="24"/>
        </w:rPr>
        <w:t xml:space="preserve">, </w:t>
      </w:r>
      <w:r>
        <w:rPr>
          <w:spacing w:val="1"/>
          <w:szCs w:val="24"/>
        </w:rPr>
        <w:t>п</w:t>
      </w:r>
      <w:r>
        <w:rPr>
          <w:szCs w:val="24"/>
        </w:rPr>
        <w:t>л</w:t>
      </w:r>
      <w:r>
        <w:rPr>
          <w:spacing w:val="-1"/>
          <w:szCs w:val="24"/>
        </w:rPr>
        <w:t>а</w:t>
      </w:r>
      <w:r>
        <w:rPr>
          <w:szCs w:val="24"/>
        </w:rPr>
        <w:t>тоа, кровова</w:t>
      </w:r>
      <w:r>
        <w:rPr>
          <w:spacing w:val="-1"/>
          <w:szCs w:val="24"/>
        </w:rPr>
        <w:t xml:space="preserve"> </w:t>
      </w:r>
      <w:r>
        <w:rPr>
          <w:szCs w:val="24"/>
        </w:rPr>
        <w:t xml:space="preserve">и </w:t>
      </w:r>
      <w:r>
        <w:rPr>
          <w:spacing w:val="1"/>
          <w:szCs w:val="24"/>
        </w:rPr>
        <w:t>п</w:t>
      </w:r>
      <w:r>
        <w:rPr>
          <w:spacing w:val="-1"/>
          <w:szCs w:val="24"/>
        </w:rPr>
        <w:t>а</w:t>
      </w:r>
      <w:r>
        <w:rPr>
          <w:szCs w:val="24"/>
        </w:rPr>
        <w:t>р</w:t>
      </w:r>
      <w:r>
        <w:rPr>
          <w:spacing w:val="1"/>
          <w:szCs w:val="24"/>
        </w:rPr>
        <w:t>кин</w:t>
      </w:r>
      <w:r>
        <w:rPr>
          <w:szCs w:val="24"/>
        </w:rPr>
        <w:t>г</w:t>
      </w:r>
      <w:r>
        <w:rPr>
          <w:spacing w:val="-1"/>
          <w:szCs w:val="24"/>
        </w:rPr>
        <w:t>а.</w:t>
      </w:r>
      <w:r>
        <w:rPr>
          <w:rFonts w:eastAsia="Calibri" w:eastAsiaTheme="minorHAnsi"/>
          <w:szCs w:val="24"/>
        </w:rPr>
        <w:t xml:space="preserve"> </w:t>
      </w:r>
      <w:r>
        <w:rPr>
          <w:szCs w:val="24"/>
        </w:rPr>
        <w:t>О</w:t>
      </w:r>
      <w:r>
        <w:rPr>
          <w:spacing w:val="-1"/>
          <w:szCs w:val="24"/>
        </w:rPr>
        <w:t>ва</w:t>
      </w:r>
      <w:r>
        <w:rPr>
          <w:spacing w:val="1"/>
          <w:szCs w:val="24"/>
        </w:rPr>
        <w:t>к</w:t>
      </w:r>
      <w:r>
        <w:rPr>
          <w:szCs w:val="24"/>
        </w:rPr>
        <w:t>о</w:t>
      </w:r>
      <w:r>
        <w:rPr>
          <w:spacing w:val="-2"/>
          <w:szCs w:val="24"/>
        </w:rPr>
        <w:t xml:space="preserve"> </w:t>
      </w:r>
      <w:r>
        <w:rPr>
          <w:spacing w:val="1"/>
          <w:szCs w:val="24"/>
        </w:rPr>
        <w:t>п</w:t>
      </w:r>
      <w:r>
        <w:rPr>
          <w:spacing w:val="-2"/>
          <w:szCs w:val="24"/>
        </w:rPr>
        <w:t>р</w:t>
      </w:r>
      <w:r>
        <w:rPr>
          <w:spacing w:val="1"/>
          <w:szCs w:val="24"/>
        </w:rPr>
        <w:t>ик</w:t>
      </w:r>
      <w:r>
        <w:rPr>
          <w:spacing w:val="-2"/>
          <w:szCs w:val="24"/>
        </w:rPr>
        <w:t>у</w:t>
      </w:r>
      <w:r>
        <w:rPr>
          <w:spacing w:val="1"/>
          <w:szCs w:val="24"/>
        </w:rPr>
        <w:t>п</w:t>
      </w:r>
      <w:r>
        <w:rPr>
          <w:szCs w:val="24"/>
        </w:rPr>
        <w:t>љ</w:t>
      </w:r>
      <w:r>
        <w:rPr>
          <w:spacing w:val="-1"/>
          <w:szCs w:val="24"/>
        </w:rPr>
        <w:t>е</w:t>
      </w:r>
      <w:r>
        <w:rPr>
          <w:spacing w:val="1"/>
          <w:szCs w:val="24"/>
        </w:rPr>
        <w:t>н</w:t>
      </w:r>
      <w:r>
        <w:rPr>
          <w:szCs w:val="24"/>
        </w:rPr>
        <w:t>а</w:t>
      </w:r>
      <w:r>
        <w:rPr>
          <w:spacing w:val="-3"/>
          <w:szCs w:val="24"/>
        </w:rPr>
        <w:t xml:space="preserve"> </w:t>
      </w:r>
      <w:r>
        <w:rPr>
          <w:spacing w:val="1"/>
          <w:szCs w:val="24"/>
        </w:rPr>
        <w:t>з</w:t>
      </w:r>
      <w:r>
        <w:rPr>
          <w:spacing w:val="-1"/>
          <w:szCs w:val="24"/>
        </w:rPr>
        <w:t>а</w:t>
      </w:r>
      <w:r>
        <w:rPr>
          <w:spacing w:val="1"/>
          <w:szCs w:val="24"/>
        </w:rPr>
        <w:t>п</w:t>
      </w:r>
      <w:r>
        <w:rPr>
          <w:spacing w:val="-2"/>
          <w:szCs w:val="24"/>
        </w:rPr>
        <w:t>р</w:t>
      </w:r>
      <w:r>
        <w:rPr>
          <w:szCs w:val="24"/>
        </w:rPr>
        <w:t>ља</w:t>
      </w:r>
      <w:r>
        <w:rPr>
          <w:spacing w:val="1"/>
          <w:szCs w:val="24"/>
        </w:rPr>
        <w:t>н</w:t>
      </w:r>
      <w:r>
        <w:rPr>
          <w:szCs w:val="24"/>
        </w:rPr>
        <w:t>а</w:t>
      </w:r>
      <w:r>
        <w:rPr>
          <w:spacing w:val="-3"/>
          <w:szCs w:val="24"/>
        </w:rPr>
        <w:t xml:space="preserve"> </w:t>
      </w:r>
      <w:r>
        <w:rPr>
          <w:spacing w:val="-1"/>
          <w:szCs w:val="24"/>
        </w:rPr>
        <w:t>а</w:t>
      </w:r>
      <w:r>
        <w:rPr>
          <w:szCs w:val="24"/>
        </w:rPr>
        <w:t>тмо</w:t>
      </w:r>
      <w:r>
        <w:rPr>
          <w:spacing w:val="-1"/>
          <w:szCs w:val="24"/>
        </w:rPr>
        <w:t>с</w:t>
      </w:r>
      <w:r>
        <w:rPr>
          <w:szCs w:val="24"/>
        </w:rPr>
        <w:t>фер</w:t>
      </w:r>
      <w:r>
        <w:rPr>
          <w:spacing w:val="-1"/>
          <w:szCs w:val="24"/>
        </w:rPr>
        <w:t>с</w:t>
      </w:r>
      <w:r>
        <w:rPr>
          <w:spacing w:val="1"/>
          <w:szCs w:val="24"/>
        </w:rPr>
        <w:t>к</w:t>
      </w:r>
      <w:r>
        <w:rPr>
          <w:szCs w:val="24"/>
        </w:rPr>
        <w:t>а</w:t>
      </w:r>
      <w:r>
        <w:rPr>
          <w:spacing w:val="-3"/>
          <w:szCs w:val="24"/>
        </w:rPr>
        <w:t xml:space="preserve"> </w:t>
      </w:r>
      <w:r>
        <w:rPr>
          <w:szCs w:val="24"/>
        </w:rPr>
        <w:t>вода</w:t>
      </w:r>
      <w:r>
        <w:rPr>
          <w:spacing w:val="-4"/>
          <w:szCs w:val="24"/>
        </w:rPr>
        <w:t xml:space="preserve"> </w:t>
      </w:r>
      <w:r>
        <w:rPr>
          <w:spacing w:val="1"/>
          <w:szCs w:val="24"/>
        </w:rPr>
        <w:t>с</w:t>
      </w:r>
      <w:r>
        <w:rPr>
          <w:szCs w:val="24"/>
        </w:rPr>
        <w:t>е</w:t>
      </w:r>
      <w:r>
        <w:rPr>
          <w:spacing w:val="-3"/>
          <w:szCs w:val="24"/>
        </w:rPr>
        <w:t xml:space="preserve"> </w:t>
      </w:r>
      <w:r>
        <w:rPr>
          <w:spacing w:val="-1"/>
          <w:szCs w:val="24"/>
        </w:rPr>
        <w:t>с</w:t>
      </w:r>
      <w:r>
        <w:rPr>
          <w:spacing w:val="1"/>
          <w:szCs w:val="24"/>
        </w:rPr>
        <w:t>и</w:t>
      </w:r>
      <w:r>
        <w:rPr>
          <w:spacing w:val="-1"/>
          <w:szCs w:val="24"/>
        </w:rPr>
        <w:t>с</w:t>
      </w:r>
      <w:r>
        <w:rPr>
          <w:szCs w:val="24"/>
        </w:rPr>
        <w:t>те</w:t>
      </w:r>
      <w:r>
        <w:rPr>
          <w:spacing w:val="-1"/>
          <w:szCs w:val="24"/>
        </w:rPr>
        <w:t>м</w:t>
      </w:r>
      <w:r>
        <w:rPr>
          <w:szCs w:val="24"/>
        </w:rPr>
        <w:t>ом</w:t>
      </w:r>
      <w:r>
        <w:rPr>
          <w:spacing w:val="-1"/>
          <w:szCs w:val="24"/>
        </w:rPr>
        <w:t xml:space="preserve"> </w:t>
      </w:r>
      <w:r>
        <w:rPr>
          <w:spacing w:val="1"/>
          <w:szCs w:val="24"/>
        </w:rPr>
        <w:t>к</w:t>
      </w:r>
      <w:r>
        <w:rPr>
          <w:spacing w:val="-1"/>
          <w:szCs w:val="24"/>
        </w:rPr>
        <w:t>а</w:t>
      </w:r>
      <w:r>
        <w:rPr>
          <w:spacing w:val="1"/>
          <w:szCs w:val="24"/>
        </w:rPr>
        <w:t>н</w:t>
      </w:r>
      <w:r>
        <w:rPr>
          <w:spacing w:val="-1"/>
          <w:szCs w:val="24"/>
        </w:rPr>
        <w:t>а</w:t>
      </w:r>
      <w:r>
        <w:rPr>
          <w:szCs w:val="24"/>
        </w:rPr>
        <w:t>ла</w:t>
      </w:r>
      <w:r>
        <w:rPr>
          <w:spacing w:val="-3"/>
          <w:szCs w:val="24"/>
        </w:rPr>
        <w:t xml:space="preserve"> </w:t>
      </w:r>
      <w:r>
        <w:rPr>
          <w:szCs w:val="24"/>
        </w:rPr>
        <w:t>и</w:t>
      </w:r>
      <w:r>
        <w:rPr>
          <w:spacing w:val="-1"/>
          <w:szCs w:val="24"/>
        </w:rPr>
        <w:t xml:space="preserve"> с</w:t>
      </w:r>
      <w:r>
        <w:rPr>
          <w:szCs w:val="24"/>
        </w:rPr>
        <w:t>л</w:t>
      </w:r>
      <w:r>
        <w:rPr>
          <w:spacing w:val="1"/>
          <w:szCs w:val="24"/>
        </w:rPr>
        <w:t>и</w:t>
      </w:r>
      <w:r>
        <w:rPr>
          <w:szCs w:val="24"/>
        </w:rPr>
        <w:t>в</w:t>
      </w:r>
      <w:r>
        <w:rPr>
          <w:spacing w:val="-2"/>
          <w:szCs w:val="24"/>
        </w:rPr>
        <w:t>н</w:t>
      </w:r>
      <w:r>
        <w:rPr>
          <w:spacing w:val="1"/>
          <w:szCs w:val="24"/>
        </w:rPr>
        <w:t>ик</w:t>
      </w:r>
      <w:r>
        <w:rPr>
          <w:szCs w:val="24"/>
        </w:rPr>
        <w:t xml:space="preserve">а </w:t>
      </w:r>
      <w:r>
        <w:rPr>
          <w:spacing w:val="-1"/>
          <w:szCs w:val="24"/>
        </w:rPr>
        <w:t>с</w:t>
      </w:r>
      <w:r>
        <w:rPr>
          <w:spacing w:val="1"/>
          <w:szCs w:val="24"/>
        </w:rPr>
        <w:t>п</w:t>
      </w:r>
      <w:r>
        <w:rPr>
          <w:szCs w:val="24"/>
        </w:rPr>
        <w:t>роводи</w:t>
      </w:r>
      <w:r>
        <w:rPr>
          <w:spacing w:val="2"/>
          <w:szCs w:val="24"/>
        </w:rPr>
        <w:t xml:space="preserve"> </w:t>
      </w:r>
      <w:r>
        <w:rPr>
          <w:szCs w:val="24"/>
        </w:rPr>
        <w:t>до</w:t>
      </w:r>
      <w:r>
        <w:rPr>
          <w:spacing w:val="1"/>
          <w:szCs w:val="24"/>
        </w:rPr>
        <w:t xml:space="preserve"> </w:t>
      </w:r>
      <w:r>
        <w:rPr>
          <w:szCs w:val="24"/>
        </w:rPr>
        <w:t>ш</w:t>
      </w:r>
      <w:r>
        <w:rPr>
          <w:spacing w:val="-1"/>
          <w:szCs w:val="24"/>
        </w:rPr>
        <w:t>а</w:t>
      </w:r>
      <w:r>
        <w:rPr>
          <w:szCs w:val="24"/>
        </w:rPr>
        <w:t>хтов</w:t>
      </w:r>
      <w:r>
        <w:rPr>
          <w:spacing w:val="-1"/>
          <w:szCs w:val="24"/>
        </w:rPr>
        <w:t>а</w:t>
      </w:r>
      <w:r>
        <w:rPr>
          <w:szCs w:val="24"/>
        </w:rPr>
        <w:t>,</w:t>
      </w:r>
      <w:r>
        <w:rPr>
          <w:spacing w:val="3"/>
          <w:szCs w:val="24"/>
        </w:rPr>
        <w:t xml:space="preserve"> </w:t>
      </w:r>
      <w:r>
        <w:rPr>
          <w:szCs w:val="24"/>
        </w:rPr>
        <w:t>а д</w:t>
      </w:r>
      <w:r>
        <w:rPr>
          <w:spacing w:val="-1"/>
          <w:szCs w:val="24"/>
        </w:rPr>
        <w:t>а</w:t>
      </w:r>
      <w:r>
        <w:rPr>
          <w:szCs w:val="24"/>
        </w:rPr>
        <w:t xml:space="preserve">ље </w:t>
      </w:r>
      <w:r>
        <w:rPr>
          <w:spacing w:val="1"/>
          <w:szCs w:val="24"/>
        </w:rPr>
        <w:t>ц</w:t>
      </w:r>
      <w:r>
        <w:rPr>
          <w:spacing w:val="-1"/>
          <w:szCs w:val="24"/>
        </w:rPr>
        <w:t>е</w:t>
      </w:r>
      <w:r>
        <w:rPr>
          <w:szCs w:val="24"/>
        </w:rPr>
        <w:t xml:space="preserve">вном </w:t>
      </w:r>
      <w:r>
        <w:rPr>
          <w:spacing w:val="-1"/>
          <w:szCs w:val="24"/>
        </w:rPr>
        <w:t>м</w:t>
      </w:r>
      <w:r>
        <w:rPr>
          <w:spacing w:val="2"/>
          <w:szCs w:val="24"/>
        </w:rPr>
        <w:t>р</w:t>
      </w:r>
      <w:r>
        <w:rPr>
          <w:spacing w:val="-1"/>
          <w:szCs w:val="24"/>
        </w:rPr>
        <w:t>е</w:t>
      </w:r>
      <w:r>
        <w:rPr>
          <w:szCs w:val="24"/>
        </w:rPr>
        <w:t>жом</w:t>
      </w:r>
      <w:r>
        <w:rPr>
          <w:spacing w:val="2"/>
          <w:szCs w:val="24"/>
        </w:rPr>
        <w:t xml:space="preserve"> </w:t>
      </w:r>
      <w:r>
        <w:rPr>
          <w:szCs w:val="24"/>
        </w:rPr>
        <w:t>до</w:t>
      </w:r>
      <w:r>
        <w:rPr>
          <w:spacing w:val="1"/>
          <w:szCs w:val="24"/>
        </w:rPr>
        <w:t xml:space="preserve"> </w:t>
      </w:r>
      <w:r>
        <w:rPr>
          <w:spacing w:val="-1"/>
          <w:szCs w:val="24"/>
        </w:rPr>
        <w:t>се</w:t>
      </w:r>
      <w:r>
        <w:rPr>
          <w:spacing w:val="1"/>
          <w:szCs w:val="24"/>
        </w:rPr>
        <w:t>п</w:t>
      </w:r>
      <w:r>
        <w:rPr>
          <w:spacing w:val="-1"/>
          <w:szCs w:val="24"/>
        </w:rPr>
        <w:t>а</w:t>
      </w:r>
      <w:r>
        <w:rPr>
          <w:szCs w:val="24"/>
        </w:rPr>
        <w:t>р</w:t>
      </w:r>
      <w:r>
        <w:rPr>
          <w:spacing w:val="-1"/>
          <w:szCs w:val="24"/>
        </w:rPr>
        <w:t>а</w:t>
      </w:r>
      <w:r>
        <w:rPr>
          <w:szCs w:val="24"/>
        </w:rPr>
        <w:t>тора</w:t>
      </w:r>
      <w:r>
        <w:rPr>
          <w:spacing w:val="1"/>
          <w:szCs w:val="24"/>
        </w:rPr>
        <w:t xml:space="preserve"> н</w:t>
      </w:r>
      <w:r>
        <w:rPr>
          <w:spacing w:val="-1"/>
          <w:szCs w:val="24"/>
        </w:rPr>
        <w:t>а</w:t>
      </w:r>
      <w:r>
        <w:rPr>
          <w:szCs w:val="24"/>
        </w:rPr>
        <w:t>ф</w:t>
      </w:r>
      <w:r>
        <w:rPr>
          <w:spacing w:val="1"/>
          <w:szCs w:val="24"/>
        </w:rPr>
        <w:t>тни</w:t>
      </w:r>
      <w:r>
        <w:rPr>
          <w:szCs w:val="24"/>
        </w:rPr>
        <w:t>х</w:t>
      </w:r>
      <w:r>
        <w:rPr>
          <w:spacing w:val="1"/>
          <w:szCs w:val="24"/>
        </w:rPr>
        <w:t xml:space="preserve"> </w:t>
      </w:r>
      <w:r>
        <w:rPr>
          <w:szCs w:val="24"/>
        </w:rPr>
        <w:t>д</w:t>
      </w:r>
      <w:r>
        <w:rPr>
          <w:spacing w:val="-1"/>
          <w:szCs w:val="24"/>
        </w:rPr>
        <w:t>е</w:t>
      </w:r>
      <w:r>
        <w:rPr>
          <w:szCs w:val="24"/>
        </w:rPr>
        <w:t>р</w:t>
      </w:r>
      <w:r>
        <w:rPr>
          <w:spacing w:val="1"/>
          <w:szCs w:val="24"/>
        </w:rPr>
        <w:t>и</w:t>
      </w:r>
      <w:r>
        <w:rPr>
          <w:szCs w:val="24"/>
        </w:rPr>
        <w:t>в</w:t>
      </w:r>
      <w:r>
        <w:rPr>
          <w:spacing w:val="-1"/>
          <w:szCs w:val="24"/>
        </w:rPr>
        <w:t>а</w:t>
      </w:r>
      <w:r>
        <w:rPr>
          <w:szCs w:val="24"/>
        </w:rPr>
        <w:t>та. Н</w:t>
      </w:r>
      <w:r>
        <w:rPr>
          <w:spacing w:val="-1"/>
          <w:szCs w:val="24"/>
        </w:rPr>
        <w:t>а</w:t>
      </w:r>
      <w:r>
        <w:rPr>
          <w:spacing w:val="1"/>
          <w:szCs w:val="24"/>
        </w:rPr>
        <w:t>к</w:t>
      </w:r>
      <w:r>
        <w:rPr>
          <w:szCs w:val="24"/>
        </w:rPr>
        <w:t xml:space="preserve">он </w:t>
      </w:r>
      <w:r>
        <w:rPr>
          <w:spacing w:val="1"/>
          <w:szCs w:val="24"/>
        </w:rPr>
        <w:t>п</w:t>
      </w:r>
      <w:r>
        <w:rPr>
          <w:szCs w:val="24"/>
        </w:rPr>
        <w:t>р</w:t>
      </w:r>
      <w:r>
        <w:rPr>
          <w:spacing w:val="-1"/>
          <w:szCs w:val="24"/>
        </w:rPr>
        <w:t>еч</w:t>
      </w:r>
      <w:r>
        <w:rPr>
          <w:spacing w:val="1"/>
          <w:szCs w:val="24"/>
        </w:rPr>
        <w:t>и</w:t>
      </w:r>
      <w:r>
        <w:rPr>
          <w:szCs w:val="24"/>
        </w:rPr>
        <w:t>шћ</w:t>
      </w:r>
      <w:r>
        <w:rPr>
          <w:spacing w:val="-1"/>
          <w:szCs w:val="24"/>
        </w:rPr>
        <w:t>а</w:t>
      </w:r>
      <w:r>
        <w:rPr>
          <w:szCs w:val="24"/>
        </w:rPr>
        <w:t>в</w:t>
      </w:r>
      <w:r>
        <w:rPr>
          <w:spacing w:val="-1"/>
          <w:szCs w:val="24"/>
        </w:rPr>
        <w:t>ањ</w:t>
      </w:r>
      <w:r>
        <w:rPr>
          <w:szCs w:val="24"/>
        </w:rPr>
        <w:t>а</w:t>
      </w:r>
      <w:r>
        <w:rPr>
          <w:spacing w:val="1"/>
          <w:szCs w:val="24"/>
        </w:rPr>
        <w:t xml:space="preserve"> </w:t>
      </w:r>
      <w:r>
        <w:rPr>
          <w:szCs w:val="24"/>
        </w:rPr>
        <w:t>у</w:t>
      </w:r>
      <w:r>
        <w:rPr>
          <w:spacing w:val="4"/>
          <w:szCs w:val="24"/>
        </w:rPr>
        <w:t xml:space="preserve"> </w:t>
      </w:r>
      <w:r>
        <w:rPr>
          <w:spacing w:val="-1"/>
          <w:szCs w:val="24"/>
        </w:rPr>
        <w:t>се</w:t>
      </w:r>
      <w:r>
        <w:rPr>
          <w:spacing w:val="1"/>
          <w:szCs w:val="24"/>
        </w:rPr>
        <w:t>п</w:t>
      </w:r>
      <w:r>
        <w:rPr>
          <w:spacing w:val="-1"/>
          <w:szCs w:val="24"/>
        </w:rPr>
        <w:t>а</w:t>
      </w:r>
      <w:r>
        <w:rPr>
          <w:spacing w:val="2"/>
          <w:szCs w:val="24"/>
        </w:rPr>
        <w:t>р</w:t>
      </w:r>
      <w:r>
        <w:rPr>
          <w:spacing w:val="-1"/>
          <w:szCs w:val="24"/>
        </w:rPr>
        <w:t>а</w:t>
      </w:r>
      <w:r>
        <w:rPr>
          <w:szCs w:val="24"/>
        </w:rPr>
        <w:t>тору</w:t>
      </w:r>
      <w:r>
        <w:rPr>
          <w:spacing w:val="2"/>
          <w:szCs w:val="24"/>
        </w:rPr>
        <w:t xml:space="preserve"> </w:t>
      </w:r>
      <w:r>
        <w:rPr>
          <w:spacing w:val="1"/>
          <w:szCs w:val="24"/>
        </w:rPr>
        <w:t>н</w:t>
      </w:r>
      <w:r>
        <w:rPr>
          <w:spacing w:val="-1"/>
          <w:szCs w:val="24"/>
        </w:rPr>
        <w:t>а</w:t>
      </w:r>
      <w:r>
        <w:rPr>
          <w:szCs w:val="24"/>
        </w:rPr>
        <w:t>ф</w:t>
      </w:r>
      <w:r>
        <w:rPr>
          <w:spacing w:val="1"/>
          <w:szCs w:val="24"/>
        </w:rPr>
        <w:t>тни</w:t>
      </w:r>
      <w:r>
        <w:rPr>
          <w:szCs w:val="24"/>
        </w:rPr>
        <w:t>х</w:t>
      </w:r>
      <w:r>
        <w:rPr>
          <w:spacing w:val="2"/>
          <w:szCs w:val="24"/>
        </w:rPr>
        <w:t xml:space="preserve"> </w:t>
      </w:r>
      <w:r>
        <w:rPr>
          <w:szCs w:val="24"/>
        </w:rPr>
        <w:t>д</w:t>
      </w:r>
      <w:r>
        <w:rPr>
          <w:spacing w:val="-2"/>
          <w:szCs w:val="24"/>
        </w:rPr>
        <w:t>р</w:t>
      </w:r>
      <w:r>
        <w:rPr>
          <w:spacing w:val="1"/>
          <w:szCs w:val="24"/>
        </w:rPr>
        <w:t>и</w:t>
      </w:r>
      <w:r>
        <w:rPr>
          <w:szCs w:val="24"/>
        </w:rPr>
        <w:t>в</w:t>
      </w:r>
      <w:r>
        <w:rPr>
          <w:spacing w:val="-1"/>
          <w:szCs w:val="24"/>
        </w:rPr>
        <w:t>а</w:t>
      </w:r>
      <w:r>
        <w:rPr>
          <w:spacing w:val="-2"/>
          <w:szCs w:val="24"/>
        </w:rPr>
        <w:t>т</w:t>
      </w:r>
      <w:r>
        <w:rPr>
          <w:spacing w:val="-1"/>
          <w:szCs w:val="24"/>
        </w:rPr>
        <w:t>а</w:t>
      </w:r>
      <w:r>
        <w:rPr>
          <w:szCs w:val="24"/>
        </w:rPr>
        <w:t>,</w:t>
      </w:r>
      <w:r>
        <w:rPr>
          <w:spacing w:val="2"/>
          <w:szCs w:val="24"/>
        </w:rPr>
        <w:t xml:space="preserve"> </w:t>
      </w:r>
      <w:r>
        <w:rPr>
          <w:spacing w:val="1"/>
          <w:szCs w:val="24"/>
        </w:rPr>
        <w:t>п</w:t>
      </w:r>
      <w:r>
        <w:rPr>
          <w:szCs w:val="24"/>
        </w:rPr>
        <w:t>р</w:t>
      </w:r>
      <w:r>
        <w:rPr>
          <w:spacing w:val="-1"/>
          <w:szCs w:val="24"/>
        </w:rPr>
        <w:t>еч</w:t>
      </w:r>
      <w:r>
        <w:rPr>
          <w:spacing w:val="1"/>
          <w:szCs w:val="24"/>
        </w:rPr>
        <w:t>и</w:t>
      </w:r>
      <w:r>
        <w:rPr>
          <w:szCs w:val="24"/>
        </w:rPr>
        <w:t>ћш</w:t>
      </w:r>
      <w:r>
        <w:rPr>
          <w:spacing w:val="-1"/>
          <w:szCs w:val="24"/>
        </w:rPr>
        <w:t>е</w:t>
      </w:r>
      <w:r>
        <w:rPr>
          <w:spacing w:val="1"/>
          <w:szCs w:val="24"/>
        </w:rPr>
        <w:t>н</w:t>
      </w:r>
      <w:r>
        <w:rPr>
          <w:szCs w:val="24"/>
        </w:rPr>
        <w:t>а</w:t>
      </w:r>
      <w:r>
        <w:rPr>
          <w:spacing w:val="1"/>
          <w:szCs w:val="24"/>
        </w:rPr>
        <w:t xml:space="preserve"> </w:t>
      </w:r>
      <w:r>
        <w:rPr>
          <w:szCs w:val="24"/>
        </w:rPr>
        <w:t xml:space="preserve">вода </w:t>
      </w:r>
      <w:r>
        <w:rPr>
          <w:spacing w:val="1"/>
          <w:szCs w:val="24"/>
        </w:rPr>
        <w:t>с</w:t>
      </w:r>
      <w:r>
        <w:rPr>
          <w:szCs w:val="24"/>
        </w:rPr>
        <w:t>е</w:t>
      </w:r>
      <w:r>
        <w:rPr>
          <w:spacing w:val="3"/>
          <w:szCs w:val="24"/>
        </w:rPr>
        <w:t xml:space="preserve"> </w:t>
      </w:r>
      <w:r>
        <w:rPr>
          <w:spacing w:val="1"/>
          <w:szCs w:val="24"/>
        </w:rPr>
        <w:t>и</w:t>
      </w:r>
      <w:r>
        <w:rPr>
          <w:spacing w:val="-1"/>
          <w:szCs w:val="24"/>
        </w:rPr>
        <w:t>с</w:t>
      </w:r>
      <w:r>
        <w:rPr>
          <w:spacing w:val="1"/>
          <w:szCs w:val="24"/>
        </w:rPr>
        <w:t>п</w:t>
      </w:r>
      <w:r>
        <w:rPr>
          <w:szCs w:val="24"/>
        </w:rPr>
        <w:t>ушта</w:t>
      </w:r>
      <w:r>
        <w:rPr>
          <w:spacing w:val="1"/>
          <w:szCs w:val="24"/>
        </w:rPr>
        <w:t xml:space="preserve"> </w:t>
      </w:r>
      <w:r>
        <w:rPr>
          <w:szCs w:val="24"/>
        </w:rPr>
        <w:t>у</w:t>
      </w:r>
      <w:r>
        <w:rPr>
          <w:spacing w:val="2"/>
          <w:szCs w:val="24"/>
        </w:rPr>
        <w:t xml:space="preserve"> </w:t>
      </w:r>
      <w:r>
        <w:rPr>
          <w:rFonts w:eastAsia="Calibri" w:eastAsiaTheme="minorHAnsi"/>
          <w:szCs w:val="24"/>
          <w:lang w:val="sr-RS"/>
        </w:rPr>
        <w:t>Велику реку</w:t>
      </w:r>
      <w:r>
        <w:rPr>
          <w:szCs w:val="24"/>
          <w:lang w:val="sr-RS"/>
        </w:rPr>
        <w:t xml:space="preserve"> преко изграђене канализационе мреже .</w:t>
      </w:r>
    </w:p>
    <w:p>
      <w:pPr>
        <w:pStyle w:val="Normal"/>
        <w:suppressAutoHyphens w:val="false"/>
        <w:spacing w:lineRule="auto" w:line="276"/>
        <w:rPr>
          <w:rFonts w:ascii="Times New Roman" w:hAnsi="Times New Roman" w:eastAsia="Calibri" w:eastAsiaTheme="minorHAnsi"/>
          <w:b/>
          <w:b/>
          <w:szCs w:val="24"/>
        </w:rPr>
      </w:pPr>
      <w:r>
        <w:rPr>
          <w:rFonts w:eastAsia="Calibri" w:eastAsiaTheme="minorHAnsi"/>
          <w:b/>
          <w:szCs w:val="24"/>
        </w:rPr>
      </w:r>
    </w:p>
    <w:p>
      <w:pPr>
        <w:pStyle w:val="Normal"/>
        <w:suppressAutoHyphens w:val="false"/>
        <w:spacing w:lineRule="auto" w:line="276"/>
        <w:rPr>
          <w:rFonts w:ascii="Times New Roman" w:hAnsi="Times New Roman"/>
        </w:rPr>
      </w:pPr>
      <w:r>
        <w:rPr>
          <w:rFonts w:eastAsia="Calibri" w:eastAsiaTheme="minorHAnsi"/>
          <w:b/>
          <w:szCs w:val="24"/>
        </w:rPr>
        <w:t>2.5. Постројење за пречишћавање отпадних вода (ППОВ)</w:t>
      </w:r>
      <w:bookmarkStart w:id="32" w:name="_Hlk153357322"/>
      <w:bookmarkEnd w:id="32"/>
    </w:p>
    <w:p>
      <w:pPr>
        <w:pStyle w:val="Normal"/>
        <w:ind w:firstLine="720"/>
        <w:rPr>
          <w:rFonts w:ascii="Times New Roman" w:hAnsi="Times New Roman"/>
        </w:rPr>
      </w:pPr>
      <w:r>
        <w:rPr>
          <w:rFonts w:eastAsia="Calibri" w:eastAsiaTheme="minorHAnsi"/>
          <w:szCs w:val="24"/>
          <w:lang w:val="sr-RS"/>
        </w:rPr>
        <w:t xml:space="preserve">Постројење за пречишћавање отпадних вода планирано је на катастарским парцелама број: 5231, 5233  и  деловима катастарских парцела бр. 5232, 5234, 5230/2 и 5230/1  КО Витошевац. Капацитет постројења је 1300 ЕС (еквивалент становника), с тим што је у случају потребе могуће проширење капацитета у будућности. </w:t>
      </w:r>
    </w:p>
    <w:p>
      <w:pPr>
        <w:pStyle w:val="Normal"/>
        <w:suppressAutoHyphens w:val="false"/>
        <w:spacing w:lineRule="auto" w:line="276"/>
        <w:ind w:firstLine="720"/>
        <w:rPr>
          <w:rFonts w:ascii="Times New Roman" w:hAnsi="Times New Roman"/>
        </w:rPr>
      </w:pPr>
      <w:r>
        <w:rPr>
          <w:rFonts w:eastAsia="Calibri" w:eastAsiaTheme="minorHAnsi"/>
          <w:szCs w:val="24"/>
          <w:lang w:val="sr-RS"/>
        </w:rPr>
        <w:t>ППОВ пројектовати тако да има све садржаје који су уобичајени за пречишћавање отпадних вода насеља: механичко пречишћавање, биолошки процес пречишћавања (акценат је на што ефикаснијем уклањању органских материја), линија за обраду муља, угушћивање, аеробна стабилизација (дигестија), дехидратација муља пресама. Распоред објеката у комплексу и све потребне цевне везе унутар комплекса (линија воде, линија</w:t>
      </w:r>
    </w:p>
    <w:p>
      <w:pPr>
        <w:pStyle w:val="Normal"/>
        <w:suppressAutoHyphens w:val="false"/>
        <w:spacing w:lineRule="auto" w:line="276"/>
        <w:rPr>
          <w:rFonts w:ascii="Times New Roman" w:hAnsi="Times New Roman"/>
        </w:rPr>
      </w:pPr>
      <w:r>
        <w:rPr>
          <w:rFonts w:eastAsia="Calibri" w:eastAsiaTheme="minorHAnsi"/>
          <w:szCs w:val="24"/>
          <w:lang w:val="sr-RS"/>
        </w:rPr>
        <w:t>муља, линија биогаса) дефинисаће се техничком документацијом, зависно од усвојене технологије пречишћавања. С обзиром на планирани капацитет постројења могућа је набавка и уградња готовог пакет уређаја за пречишћавање отпадних вода. Комплекс мора бити ограђен. Минимални појас заштитног зеленила унутар комплекса у виду високог растиња је 10 m од регулационе линије (ограде комплекса). Дозвољена је фазна изградња објеката у комплексу зависно од тренутно потребних капацитета, при чему свака фаза мора да представља функционалну целину.</w:t>
      </w:r>
    </w:p>
    <w:p>
      <w:pPr>
        <w:pStyle w:val="Normal"/>
        <w:suppressAutoHyphens w:val="false"/>
        <w:spacing w:lineRule="auto" w:line="276"/>
        <w:rPr>
          <w:rFonts w:ascii="Times New Roman" w:hAnsi="Times New Roman"/>
        </w:rPr>
      </w:pPr>
      <w:r>
        <w:rPr>
          <w:rFonts w:eastAsia="Calibri" w:eastAsiaTheme="minorHAnsi"/>
          <w:szCs w:val="24"/>
          <w:lang w:val="sr-RS"/>
        </w:rPr>
        <w:t>Пречишћене воде из постројења испуштаће се у Велику реку која протиче југозападном границом комплекса. Мерење количина и испитивање отпадних вода урадити сходно Правилнику о начину и условима за мерење количине и испитивање отпадних вода и садржини извештаја о извршеним мерењима ("Сл. гласник РС" бр. 33/2016). Димензије ППОВ дефинисаће се техничком документацијом на основу стварних количина отпадних вода и усвојене технологије пречишћавања. Потребно је локацију постројења обезбедити насипањем до коте велике воде Велике реке стогодишњег повратног периода. Такође је потребно локацију постројења обезбедити од ерозије и плављења великим водама Велике реке стогодишњег повратног периода изградњом обалоутврде. Изградња насипа и обалоутврде вршиће се на основу техничке документације и услова надлежног водопривредног предузећа.</w:t>
      </w:r>
    </w:p>
    <w:p>
      <w:pPr>
        <w:pStyle w:val="Normal"/>
        <w:suppressAutoHyphens w:val="false"/>
        <w:spacing w:lineRule="auto" w:line="276"/>
        <w:rPr>
          <w:rFonts w:ascii="Times New Roman" w:hAnsi="Times New Roman"/>
        </w:rPr>
      </w:pPr>
      <w:r>
        <w:rPr>
          <w:rFonts w:eastAsia="Calibri" w:eastAsiaTheme="minorHAnsi"/>
          <w:szCs w:val="24"/>
          <w:lang w:val="sr-RS"/>
        </w:rPr>
        <w:t xml:space="preserve">Квалитет  вода које се упуштају у </w:t>
      </w:r>
      <w:bookmarkStart w:id="33" w:name="_Hlk129777709"/>
      <w:r>
        <w:rPr>
          <w:rFonts w:eastAsia="Calibri" w:eastAsiaTheme="minorHAnsi"/>
          <w:szCs w:val="24"/>
          <w:lang w:val="sr-RS"/>
        </w:rPr>
        <w:t>Велику реку</w:t>
      </w:r>
      <w:bookmarkEnd w:id="33"/>
      <w:r>
        <w:rPr>
          <w:rFonts w:eastAsia="Calibri" w:eastAsiaTheme="minorHAnsi"/>
          <w:szCs w:val="24"/>
          <w:lang w:val="sr-RS"/>
        </w:rPr>
        <w:t xml:space="preserve">, морају бити у складу са Правилником о параметрима еколошког и хемијског статуса површинских вода и параметрима хемијског и квантитативног статуса подземних вода („Сл.гласник РС“, бр.74/2011"), Уредбом о граничним вредностима емисије загађујућих материја у воде и роковима за њихово достизање(„Сл. гласник РС“, бр.67/11, 48/12 и 1/16), Уредбом о граничним вредностима приоритетних и приоритетних хазардних супстанци које загађују површинске воде и роковима за њихово достизање („Сл.гласник РС“, бр.24/2014) и Уредбом о граничним вредностима загађујућих материја у површинским и подземним водама и седименту и роковима за њихово достизање („Сл.гласник РС“, бр.50/12). </w:t>
      </w:r>
    </w:p>
    <w:p>
      <w:pPr>
        <w:pStyle w:val="Normal"/>
        <w:suppressAutoHyphens w:val="false"/>
        <w:spacing w:lineRule="auto" w:line="276"/>
        <w:ind w:firstLine="720"/>
        <w:rPr>
          <w:rFonts w:ascii="Times New Roman" w:hAnsi="Times New Roman" w:eastAsia="Calibri" w:eastAsiaTheme="minorHAnsi"/>
          <w:color w:val="00B0F0"/>
          <w:szCs w:val="24"/>
        </w:rPr>
      </w:pPr>
      <w:r>
        <w:rPr>
          <w:rFonts w:eastAsia="Calibri" w:eastAsiaTheme="minorHAnsi"/>
          <w:color w:val="00B0F0"/>
          <w:szCs w:val="24"/>
        </w:rPr>
      </w:r>
    </w:p>
    <w:p>
      <w:pPr>
        <w:pStyle w:val="Normal"/>
        <w:suppressAutoHyphens w:val="false"/>
        <w:spacing w:lineRule="auto" w:line="276"/>
        <w:ind w:firstLine="720"/>
        <w:rPr>
          <w:rFonts w:ascii="Times New Roman" w:hAnsi="Times New Roman" w:eastAsia="Calibri" w:eastAsiaTheme="minorHAnsi"/>
          <w:color w:val="00B0F0"/>
          <w:szCs w:val="24"/>
        </w:rPr>
      </w:pPr>
      <w:r>
        <w:rPr>
          <w:rFonts w:eastAsia="Calibri" w:eastAsiaTheme="minorHAnsi"/>
          <w:color w:val="00B0F0"/>
          <w:szCs w:val="24"/>
        </w:rPr>
      </w:r>
    </w:p>
    <w:p>
      <w:pPr>
        <w:pStyle w:val="Normal"/>
        <w:suppressAutoHyphens w:val="false"/>
        <w:spacing w:lineRule="auto" w:line="276"/>
        <w:ind w:firstLine="720"/>
        <w:rPr>
          <w:rFonts w:ascii="Times New Roman" w:hAnsi="Times New Roman" w:eastAsia="Calibri" w:eastAsiaTheme="minorHAnsi"/>
          <w:color w:val="00B0F0"/>
          <w:szCs w:val="24"/>
        </w:rPr>
      </w:pPr>
      <w:r>
        <w:rPr>
          <w:rFonts w:eastAsia="Calibri" w:eastAsiaTheme="minorHAnsi"/>
          <w:color w:val="00B0F0"/>
          <w:szCs w:val="24"/>
        </w:rPr>
      </w:r>
    </w:p>
    <w:p>
      <w:pPr>
        <w:pStyle w:val="ListParagraph"/>
        <w:numPr>
          <w:ilvl w:val="0"/>
          <w:numId w:val="4"/>
        </w:numPr>
        <w:tabs>
          <w:tab w:val="clear" w:pos="720"/>
          <w:tab w:val="left" w:pos="426" w:leader="none"/>
        </w:tabs>
        <w:rPr>
          <w:rFonts w:ascii="Times New Roman" w:hAnsi="Times New Roman"/>
          <w:b/>
          <w:b/>
          <w:bCs/>
        </w:rPr>
      </w:pPr>
      <w:r>
        <w:rPr>
          <w:rFonts w:eastAsia="Calibri" w:eastAsiaTheme="minorHAnsi"/>
          <w:b/>
          <w:bCs/>
        </w:rPr>
        <w:t>Систем евакуације и прикупљања отпада</w:t>
      </w:r>
    </w:p>
    <w:p>
      <w:pPr>
        <w:pStyle w:val="ListParagraph"/>
        <w:widowControl w:val="false"/>
        <w:tabs>
          <w:tab w:val="clear" w:pos="720"/>
          <w:tab w:val="left" w:pos="851" w:leader="none"/>
        </w:tabs>
        <w:ind w:left="0" w:right="-1" w:hanging="0"/>
        <w:rPr>
          <w:rFonts w:ascii="Times New Roman" w:hAnsi="Times New Roman"/>
        </w:rPr>
      </w:pPr>
      <w:r>
        <w:rPr>
          <w:color w:val="000000" w:themeColor="text1"/>
        </w:rPr>
        <w:tab/>
        <w:t>Упра</w:t>
      </w:r>
      <w:r>
        <w:rPr>
          <w:color w:val="000000" w:themeColor="text1"/>
          <w:spacing w:val="1"/>
        </w:rPr>
        <w:t>в</w:t>
      </w:r>
      <w:r>
        <w:rPr>
          <w:color w:val="000000" w:themeColor="text1"/>
        </w:rPr>
        <w:t>ља</w:t>
      </w:r>
      <w:r>
        <w:rPr>
          <w:color w:val="000000" w:themeColor="text1"/>
          <w:spacing w:val="1"/>
        </w:rPr>
        <w:t>њ</w:t>
      </w:r>
      <w:r>
        <w:rPr>
          <w:color w:val="000000" w:themeColor="text1"/>
        </w:rPr>
        <w:t>е</w:t>
      </w:r>
      <w:r>
        <w:rPr>
          <w:color w:val="000000" w:themeColor="text1"/>
          <w:spacing w:val="22"/>
        </w:rPr>
        <w:t xml:space="preserve"> </w:t>
      </w:r>
      <w:r>
        <w:rPr>
          <w:color w:val="000000" w:themeColor="text1"/>
          <w:spacing w:val="1"/>
        </w:rPr>
        <w:t>к</w:t>
      </w:r>
      <w:r>
        <w:rPr>
          <w:color w:val="000000" w:themeColor="text1"/>
        </w:rPr>
        <w:t>ом</w:t>
      </w:r>
      <w:r>
        <w:rPr>
          <w:color w:val="000000" w:themeColor="text1"/>
          <w:spacing w:val="-2"/>
        </w:rPr>
        <w:t>у</w:t>
      </w:r>
      <w:r>
        <w:rPr>
          <w:color w:val="000000" w:themeColor="text1"/>
        </w:rPr>
        <w:t>на</w:t>
      </w:r>
      <w:r>
        <w:rPr>
          <w:color w:val="000000" w:themeColor="text1"/>
          <w:spacing w:val="1"/>
        </w:rPr>
        <w:t>л</w:t>
      </w:r>
      <w:r>
        <w:rPr>
          <w:color w:val="000000" w:themeColor="text1"/>
        </w:rPr>
        <w:t>н</w:t>
      </w:r>
      <w:r>
        <w:rPr>
          <w:color w:val="000000" w:themeColor="text1"/>
          <w:spacing w:val="-1"/>
        </w:rPr>
        <w:t>и</w:t>
      </w:r>
      <w:r>
        <w:rPr>
          <w:color w:val="000000" w:themeColor="text1"/>
        </w:rPr>
        <w:t>м</w:t>
      </w:r>
      <w:r>
        <w:rPr>
          <w:color w:val="000000" w:themeColor="text1"/>
          <w:spacing w:val="22"/>
        </w:rPr>
        <w:t xml:space="preserve"> </w:t>
      </w:r>
      <w:r>
        <w:rPr>
          <w:color w:val="000000" w:themeColor="text1"/>
        </w:rPr>
        <w:t>чв</w:t>
      </w:r>
      <w:r>
        <w:rPr>
          <w:color w:val="000000" w:themeColor="text1"/>
          <w:spacing w:val="1"/>
        </w:rPr>
        <w:t>р</w:t>
      </w:r>
      <w:r>
        <w:rPr>
          <w:color w:val="000000" w:themeColor="text1"/>
        </w:rPr>
        <w:t>с</w:t>
      </w:r>
      <w:r>
        <w:rPr>
          <w:color w:val="000000" w:themeColor="text1"/>
          <w:spacing w:val="1"/>
        </w:rPr>
        <w:t>т</w:t>
      </w:r>
      <w:r>
        <w:rPr>
          <w:color w:val="000000" w:themeColor="text1"/>
        </w:rPr>
        <w:t>им</w:t>
      </w:r>
      <w:r>
        <w:rPr>
          <w:color w:val="000000" w:themeColor="text1"/>
          <w:spacing w:val="22"/>
        </w:rPr>
        <w:t xml:space="preserve"> </w:t>
      </w:r>
      <w:r>
        <w:rPr>
          <w:color w:val="000000" w:themeColor="text1"/>
        </w:rPr>
        <w:t>отп</w:t>
      </w:r>
      <w:r>
        <w:rPr>
          <w:color w:val="000000" w:themeColor="text1"/>
          <w:spacing w:val="1"/>
        </w:rPr>
        <w:t>ад</w:t>
      </w:r>
      <w:r>
        <w:rPr>
          <w:color w:val="000000" w:themeColor="text1"/>
        </w:rPr>
        <w:t>о</w:t>
      </w:r>
      <w:r>
        <w:rPr>
          <w:color w:val="000000" w:themeColor="text1"/>
          <w:spacing w:val="1"/>
        </w:rPr>
        <w:t>м</w:t>
      </w:r>
      <w:r>
        <w:rPr>
          <w:color w:val="000000" w:themeColor="text1"/>
          <w:spacing w:val="21"/>
        </w:rPr>
        <w:t xml:space="preserve"> </w:t>
      </w:r>
      <w:r>
        <w:rPr>
          <w:color w:val="000000" w:themeColor="text1"/>
          <w:spacing w:val="1"/>
        </w:rPr>
        <w:t>н</w:t>
      </w:r>
      <w:r>
        <w:rPr>
          <w:color w:val="000000" w:themeColor="text1"/>
        </w:rPr>
        <w:t>а</w:t>
      </w:r>
      <w:r>
        <w:rPr>
          <w:color w:val="000000" w:themeColor="text1"/>
          <w:spacing w:val="23"/>
        </w:rPr>
        <w:t xml:space="preserve"> </w:t>
      </w:r>
      <w:r>
        <w:rPr>
          <w:color w:val="000000" w:themeColor="text1"/>
        </w:rPr>
        <w:t>т</w:t>
      </w:r>
      <w:r>
        <w:rPr>
          <w:color w:val="000000" w:themeColor="text1"/>
          <w:spacing w:val="1"/>
        </w:rPr>
        <w:t>е</w:t>
      </w:r>
      <w:r>
        <w:rPr>
          <w:color w:val="000000" w:themeColor="text1"/>
        </w:rPr>
        <w:t>ритор</w:t>
      </w:r>
      <w:r>
        <w:rPr>
          <w:color w:val="000000" w:themeColor="text1"/>
          <w:spacing w:val="-1"/>
        </w:rPr>
        <w:t>и</w:t>
      </w:r>
      <w:r>
        <w:rPr>
          <w:color w:val="000000" w:themeColor="text1"/>
          <w:spacing w:val="1"/>
        </w:rPr>
        <w:t>ј</w:t>
      </w:r>
      <w:r>
        <w:rPr>
          <w:color w:val="000000" w:themeColor="text1"/>
        </w:rPr>
        <w:t>и</w:t>
      </w:r>
      <w:r>
        <w:rPr>
          <w:color w:val="000000" w:themeColor="text1"/>
          <w:spacing w:val="22"/>
        </w:rPr>
        <w:t xml:space="preserve"> </w:t>
      </w:r>
      <w:r>
        <w:rPr>
          <w:color w:val="000000" w:themeColor="text1"/>
        </w:rPr>
        <w:t>о</w:t>
      </w:r>
      <w:r>
        <w:rPr>
          <w:color w:val="000000" w:themeColor="text1"/>
          <w:spacing w:val="4"/>
        </w:rPr>
        <w:t>п</w:t>
      </w:r>
      <w:r>
        <w:rPr>
          <w:color w:val="000000" w:themeColor="text1"/>
        </w:rPr>
        <w:t>шт</w:t>
      </w:r>
      <w:r>
        <w:rPr>
          <w:color w:val="000000" w:themeColor="text1"/>
          <w:spacing w:val="1"/>
        </w:rPr>
        <w:t>и</w:t>
      </w:r>
      <w:r>
        <w:rPr>
          <w:color w:val="000000" w:themeColor="text1"/>
        </w:rPr>
        <w:t>не</w:t>
      </w:r>
      <w:r>
        <w:rPr>
          <w:color w:val="000000" w:themeColor="text1"/>
          <w:spacing w:val="23"/>
        </w:rPr>
        <w:t xml:space="preserve"> </w:t>
      </w:r>
      <w:r>
        <w:rPr>
          <w:color w:val="000000" w:themeColor="text1"/>
          <w:spacing w:val="1"/>
        </w:rPr>
        <w:t>Р</w:t>
      </w:r>
      <w:r>
        <w:rPr>
          <w:color w:val="000000" w:themeColor="text1"/>
        </w:rPr>
        <w:t>ажа</w:t>
      </w:r>
      <w:r>
        <w:rPr>
          <w:color w:val="000000" w:themeColor="text1"/>
          <w:spacing w:val="1"/>
        </w:rPr>
        <w:t>њ</w:t>
      </w:r>
      <w:r>
        <w:rPr>
          <w:color w:val="000000" w:themeColor="text1"/>
          <w:spacing w:val="24"/>
        </w:rPr>
        <w:t xml:space="preserve"> </w:t>
      </w:r>
      <w:r>
        <w:rPr>
          <w:color w:val="000000" w:themeColor="text1"/>
          <w:spacing w:val="1"/>
        </w:rPr>
        <w:t>п</w:t>
      </w:r>
      <w:r>
        <w:rPr>
          <w:color w:val="000000" w:themeColor="text1"/>
        </w:rPr>
        <w:t>ов</w:t>
      </w:r>
      <w:r>
        <w:rPr>
          <w:color w:val="000000" w:themeColor="text1"/>
          <w:spacing w:val="1"/>
        </w:rPr>
        <w:t>е</w:t>
      </w:r>
      <w:r>
        <w:rPr>
          <w:color w:val="000000" w:themeColor="text1"/>
        </w:rPr>
        <w:t>р</w:t>
      </w:r>
      <w:r>
        <w:rPr>
          <w:color w:val="000000" w:themeColor="text1"/>
          <w:spacing w:val="-1"/>
        </w:rPr>
        <w:t>е</w:t>
      </w:r>
      <w:r>
        <w:rPr>
          <w:color w:val="000000" w:themeColor="text1"/>
        </w:rPr>
        <w:t>но</w:t>
      </w:r>
      <w:r>
        <w:rPr>
          <w:color w:val="000000" w:themeColor="text1"/>
          <w:spacing w:val="22"/>
        </w:rPr>
        <w:t xml:space="preserve"> </w:t>
      </w:r>
      <w:r>
        <w:rPr>
          <w:color w:val="000000" w:themeColor="text1"/>
          <w:spacing w:val="1"/>
        </w:rPr>
        <w:t>је</w:t>
      </w:r>
      <w:r>
        <w:rPr>
          <w:color w:val="000000" w:themeColor="text1"/>
          <w:spacing w:val="23"/>
        </w:rPr>
        <w:t xml:space="preserve"> </w:t>
      </w:r>
      <w:r>
        <w:rPr>
          <w:color w:val="000000" w:themeColor="text1"/>
        </w:rPr>
        <w:t>Ј</w:t>
      </w:r>
      <w:r>
        <w:rPr>
          <w:color w:val="000000" w:themeColor="text1"/>
          <w:spacing w:val="1"/>
        </w:rPr>
        <w:t>КП</w:t>
      </w:r>
      <w:r>
        <w:rPr>
          <w:color w:val="000000" w:themeColor="text1"/>
        </w:rPr>
        <w:t xml:space="preserve"> </w:t>
      </w:r>
      <w:r>
        <w:rPr>
          <w:color w:val="000000" w:themeColor="text1"/>
          <w:spacing w:val="1"/>
        </w:rPr>
        <w:t>„К</w:t>
      </w:r>
      <w:r>
        <w:rPr>
          <w:color w:val="000000" w:themeColor="text1"/>
        </w:rPr>
        <w:t>о</w:t>
      </w:r>
      <w:r>
        <w:rPr>
          <w:color w:val="000000" w:themeColor="text1"/>
          <w:spacing w:val="1"/>
        </w:rPr>
        <w:t>м</w:t>
      </w:r>
      <w:r>
        <w:rPr>
          <w:color w:val="000000" w:themeColor="text1"/>
          <w:spacing w:val="-2"/>
        </w:rPr>
        <w:t>у</w:t>
      </w:r>
      <w:r>
        <w:rPr>
          <w:color w:val="000000" w:themeColor="text1"/>
        </w:rPr>
        <w:t>на</w:t>
      </w:r>
      <w:r>
        <w:rPr>
          <w:color w:val="000000" w:themeColor="text1"/>
          <w:spacing w:val="1"/>
        </w:rPr>
        <w:t>л</w:t>
      </w:r>
      <w:r>
        <w:rPr>
          <w:color w:val="000000" w:themeColor="text1"/>
          <w:spacing w:val="-2"/>
        </w:rPr>
        <w:t>а</w:t>
      </w:r>
      <w:r>
        <w:rPr>
          <w:color w:val="000000" w:themeColor="text1"/>
        </w:rPr>
        <w:t>ц</w:t>
      </w:r>
      <w:r>
        <w:rPr>
          <w:color w:val="000000" w:themeColor="text1"/>
          <w:spacing w:val="1"/>
        </w:rPr>
        <w:t>“</w:t>
      </w:r>
      <w:r>
        <w:rPr>
          <w:color w:val="000000" w:themeColor="text1"/>
          <w:spacing w:val="8"/>
        </w:rPr>
        <w:t xml:space="preserve"> </w:t>
      </w:r>
      <w:r>
        <w:rPr>
          <w:color w:val="000000" w:themeColor="text1"/>
          <w:spacing w:val="1"/>
        </w:rPr>
        <w:t>Р</w:t>
      </w:r>
      <w:r>
        <w:rPr>
          <w:color w:val="000000" w:themeColor="text1"/>
          <w:spacing w:val="-2"/>
        </w:rPr>
        <w:t>а</w:t>
      </w:r>
      <w:r>
        <w:rPr>
          <w:color w:val="000000" w:themeColor="text1"/>
        </w:rPr>
        <w:t>ж</w:t>
      </w:r>
      <w:r>
        <w:rPr>
          <w:color w:val="000000" w:themeColor="text1"/>
          <w:spacing w:val="-1"/>
        </w:rPr>
        <w:t>а</w:t>
      </w:r>
      <w:r>
        <w:rPr>
          <w:color w:val="000000" w:themeColor="text1"/>
          <w:spacing w:val="1"/>
        </w:rPr>
        <w:t xml:space="preserve">њ. </w:t>
      </w:r>
      <w:r>
        <w:rPr>
          <w:color w:val="000000" w:themeColor="text1"/>
          <w:spacing w:val="1"/>
          <w:lang w:val="sr-RS"/>
        </w:rPr>
        <w:t xml:space="preserve">Локација за планирано ППОВ је ван насеља Витошевац </w:t>
      </w:r>
      <w:bookmarkStart w:id="34" w:name="_Hlk132023685"/>
      <w:r>
        <w:rPr>
          <w:color w:val="000000" w:themeColor="text1"/>
          <w:spacing w:val="1"/>
          <w:lang w:val="sr-RS"/>
        </w:rPr>
        <w:t xml:space="preserve">па </w:t>
      </w:r>
      <w:r>
        <w:rPr>
          <w:color w:val="000000" w:themeColor="text1"/>
        </w:rPr>
        <w:t>Ј</w:t>
      </w:r>
      <w:r>
        <w:rPr>
          <w:color w:val="000000" w:themeColor="text1"/>
          <w:spacing w:val="1"/>
        </w:rPr>
        <w:t>КП</w:t>
      </w:r>
      <w:r>
        <w:rPr>
          <w:color w:val="000000" w:themeColor="text1"/>
        </w:rPr>
        <w:t xml:space="preserve"> </w:t>
      </w:r>
      <w:r>
        <w:rPr>
          <w:color w:val="000000" w:themeColor="text1"/>
          <w:spacing w:val="1"/>
        </w:rPr>
        <w:t>„К</w:t>
      </w:r>
      <w:r>
        <w:rPr>
          <w:color w:val="000000" w:themeColor="text1"/>
        </w:rPr>
        <w:t>о</w:t>
      </w:r>
      <w:r>
        <w:rPr>
          <w:color w:val="000000" w:themeColor="text1"/>
          <w:spacing w:val="1"/>
        </w:rPr>
        <w:t>м</w:t>
      </w:r>
      <w:r>
        <w:rPr>
          <w:color w:val="000000" w:themeColor="text1"/>
          <w:spacing w:val="-2"/>
        </w:rPr>
        <w:t>у</w:t>
      </w:r>
      <w:r>
        <w:rPr>
          <w:color w:val="000000" w:themeColor="text1"/>
        </w:rPr>
        <w:t>на</w:t>
      </w:r>
      <w:r>
        <w:rPr>
          <w:color w:val="000000" w:themeColor="text1"/>
          <w:spacing w:val="1"/>
        </w:rPr>
        <w:t>л</w:t>
      </w:r>
      <w:r>
        <w:rPr>
          <w:color w:val="000000" w:themeColor="text1"/>
          <w:spacing w:val="-2"/>
        </w:rPr>
        <w:t>а</w:t>
      </w:r>
      <w:r>
        <w:rPr>
          <w:color w:val="000000" w:themeColor="text1"/>
        </w:rPr>
        <w:t>ц</w:t>
      </w:r>
      <w:r>
        <w:rPr>
          <w:color w:val="000000" w:themeColor="text1"/>
          <w:spacing w:val="1"/>
        </w:rPr>
        <w:t>“</w:t>
      </w:r>
      <w:r>
        <w:rPr>
          <w:color w:val="000000" w:themeColor="text1"/>
          <w:spacing w:val="8"/>
        </w:rPr>
        <w:t xml:space="preserve"> </w:t>
      </w:r>
      <w:r>
        <w:rPr>
          <w:color w:val="000000" w:themeColor="text1"/>
          <w:spacing w:val="1"/>
        </w:rPr>
        <w:t>Р</w:t>
      </w:r>
      <w:r>
        <w:rPr>
          <w:color w:val="000000" w:themeColor="text1"/>
          <w:spacing w:val="-2"/>
        </w:rPr>
        <w:t>а</w:t>
      </w:r>
      <w:r>
        <w:rPr>
          <w:color w:val="000000" w:themeColor="text1"/>
        </w:rPr>
        <w:t>ж</w:t>
      </w:r>
      <w:r>
        <w:rPr>
          <w:color w:val="000000" w:themeColor="text1"/>
          <w:spacing w:val="-1"/>
        </w:rPr>
        <w:t>а</w:t>
      </w:r>
      <w:r>
        <w:rPr>
          <w:color w:val="000000" w:themeColor="text1"/>
          <w:spacing w:val="1"/>
        </w:rPr>
        <w:t>њ</w:t>
      </w:r>
      <w:r>
        <w:rPr>
          <w:color w:val="FF0000"/>
        </w:rPr>
        <w:t xml:space="preserve"> </w:t>
      </w:r>
      <w:r>
        <w:rPr>
          <w:lang w:val="sr-RS"/>
        </w:rPr>
        <w:t xml:space="preserve">нема </w:t>
      </w:r>
      <w:r>
        <w:rPr/>
        <w:t>своје</w:t>
      </w:r>
      <w:r>
        <w:rPr>
          <w:spacing w:val="30"/>
        </w:rPr>
        <w:t xml:space="preserve"> </w:t>
      </w:r>
      <w:r>
        <w:rPr/>
        <w:t>кон</w:t>
      </w:r>
      <w:r>
        <w:rPr>
          <w:spacing w:val="1"/>
        </w:rPr>
        <w:t>т</w:t>
      </w:r>
      <w:r>
        <w:rPr/>
        <w:t xml:space="preserve">ејнере </w:t>
      </w:r>
      <w:bookmarkEnd w:id="34"/>
      <w:r>
        <w:rPr/>
        <w:t>за сакупљање и одвоз дневног отпада</w:t>
      </w:r>
      <w:r>
        <w:rPr>
          <w:lang w:val="sr-RS"/>
        </w:rPr>
        <w:t xml:space="preserve"> за шире подручје ван насеља</w:t>
      </w:r>
      <w:r>
        <w:rPr/>
        <w:t>.</w:t>
      </w:r>
      <w:r>
        <w:rPr>
          <w:i/>
          <w:iCs/>
          <w:lang w:val="sr-RS"/>
        </w:rPr>
        <w:t xml:space="preserve"> </w:t>
      </w:r>
      <w:r>
        <w:rPr>
          <w:i/>
          <w:iCs/>
        </w:rPr>
        <w:t xml:space="preserve"> </w:t>
      </w:r>
    </w:p>
    <w:p>
      <w:pPr>
        <w:pStyle w:val="ListParagraph"/>
        <w:widowControl w:val="false"/>
        <w:tabs>
          <w:tab w:val="clear" w:pos="720"/>
          <w:tab w:val="left" w:pos="851" w:leader="none"/>
        </w:tabs>
        <w:ind w:left="0" w:right="-1" w:hanging="0"/>
        <w:rPr>
          <w:rFonts w:ascii="Times New Roman" w:hAnsi="Times New Roman"/>
        </w:rPr>
      </w:pPr>
      <w:r>
        <w:rPr>
          <w:i/>
          <w:iCs/>
        </w:rPr>
        <w:t xml:space="preserve">С обзиром да је у објекту мали број особља пожељно је да се врши свакодневни однос насталог </w:t>
      </w:r>
      <w:r>
        <w:rPr>
          <w:i/>
          <w:iCs/>
          <w:lang w:val="sr-RS"/>
        </w:rPr>
        <w:t xml:space="preserve">дневног </w:t>
      </w:r>
      <w:r>
        <w:rPr>
          <w:i/>
          <w:iCs/>
        </w:rPr>
        <w:t>отпада од стране самог особља до најближе постављеног  кон</w:t>
      </w:r>
      <w:r>
        <w:rPr>
          <w:i/>
          <w:iCs/>
          <w:spacing w:val="1"/>
        </w:rPr>
        <w:t>т</w:t>
      </w:r>
      <w:r>
        <w:rPr>
          <w:i/>
          <w:iCs/>
        </w:rPr>
        <w:t>ејнера.</w:t>
      </w:r>
    </w:p>
    <w:p>
      <w:pPr>
        <w:pStyle w:val="Normal"/>
        <w:suppressAutoHyphens w:val="false"/>
        <w:ind w:firstLine="360"/>
        <w:rPr>
          <w:rFonts w:ascii="Times New Roman" w:hAnsi="Times New Roman"/>
          <w:color w:val="FF0000"/>
        </w:rPr>
      </w:pPr>
      <w:r>
        <w:rPr>
          <w:color w:val="FF0000"/>
        </w:rPr>
      </w:r>
    </w:p>
    <w:p>
      <w:pPr>
        <w:pStyle w:val="ListParagraph"/>
        <w:widowControl w:val="false"/>
        <w:tabs>
          <w:tab w:val="clear" w:pos="720"/>
          <w:tab w:val="left" w:pos="851" w:leader="none"/>
        </w:tabs>
        <w:ind w:left="0" w:hanging="0"/>
        <w:rPr>
          <w:rFonts w:ascii="Times New Roman" w:hAnsi="Times New Roman"/>
        </w:rPr>
      </w:pPr>
      <w:r>
        <w:rPr>
          <w:rFonts w:eastAsia="Calibri"/>
          <w:lang w:val="ru-RU"/>
        </w:rPr>
        <w:t>У случају да се прикупљање и евакуација отпада организовано реши за прикупљање свакодневног отпада у оквиру Плана, а у простору самог ППОВ – уз ограду - поставити једну посуду до 100л. С обзиром да је у објекту мали број особља пожељно је да се врши свакодневни однос насталог отпада од стране самог особља до најближе могуће локације.</w:t>
      </w:r>
    </w:p>
    <w:p>
      <w:pPr>
        <w:pStyle w:val="ListParagraph"/>
        <w:widowControl w:val="false"/>
        <w:tabs>
          <w:tab w:val="clear" w:pos="720"/>
          <w:tab w:val="left" w:pos="851" w:leader="none"/>
        </w:tabs>
        <w:ind w:left="0" w:right="-1" w:hanging="0"/>
        <w:rPr>
          <w:rFonts w:ascii="Times New Roman" w:hAnsi="Times New Roman"/>
          <w:i/>
          <w:i/>
          <w:iCs/>
          <w:lang w:val="sr-RS"/>
        </w:rPr>
      </w:pPr>
      <w:r>
        <w:rPr>
          <w:i/>
          <w:iCs/>
          <w:lang w:val="sr-RS"/>
        </w:rPr>
      </w:r>
    </w:p>
    <w:p>
      <w:pPr>
        <w:pStyle w:val="Normal"/>
        <w:suppressAutoHyphens w:val="false"/>
        <w:ind w:firstLine="360"/>
        <w:rPr>
          <w:rFonts w:ascii="Times New Roman" w:hAnsi="Times New Roman"/>
        </w:rPr>
      </w:pPr>
      <w:r>
        <w:rPr>
          <w:u w:val="single"/>
          <w:lang w:val="sr-RS"/>
        </w:rPr>
        <w:t>Отпад настао у процесу рада ППОВ</w:t>
      </w:r>
    </w:p>
    <w:p>
      <w:pPr>
        <w:pStyle w:val="ListParagraph"/>
        <w:widowControl w:val="false"/>
        <w:tabs>
          <w:tab w:val="clear" w:pos="720"/>
          <w:tab w:val="left" w:pos="851" w:leader="none"/>
        </w:tabs>
        <w:ind w:left="0" w:right="-1" w:hanging="0"/>
        <w:rPr>
          <w:rFonts w:ascii="Times New Roman" w:hAnsi="Times New Roman"/>
        </w:rPr>
      </w:pPr>
      <w:r>
        <w:rPr/>
        <w:tab/>
        <w:t xml:space="preserve">За прикупљање свакодневног отпада </w:t>
      </w:r>
      <w:r>
        <w:rPr>
          <w:lang w:val="sr-RS"/>
        </w:rPr>
        <w:t>из</w:t>
      </w:r>
      <w:r>
        <w:rPr/>
        <w:t xml:space="preserve"> </w:t>
      </w:r>
      <w:r>
        <w:rPr>
          <w:lang w:val="sr-RS"/>
        </w:rPr>
        <w:t xml:space="preserve">процеса рада </w:t>
      </w:r>
      <w:r>
        <w:rPr/>
        <w:t xml:space="preserve"> ППОВ – унутар оград</w:t>
      </w:r>
      <w:r>
        <w:rPr>
          <w:lang w:val="sr-RS"/>
        </w:rPr>
        <w:t>е</w:t>
      </w:r>
      <w:r>
        <w:rPr/>
        <w:t>—</w:t>
      </w:r>
      <w:r>
        <w:rPr>
          <w:lang w:val="sr-RS"/>
        </w:rPr>
        <w:t xml:space="preserve">што ближе излазној </w:t>
      </w:r>
      <w:r>
        <w:rPr/>
        <w:t>капиј</w:t>
      </w:r>
      <w:r>
        <w:rPr>
          <w:lang w:val="sr-RS"/>
        </w:rPr>
        <w:t>и</w:t>
      </w:r>
      <w:r>
        <w:rPr/>
        <w:t xml:space="preserve"> - поставити </w:t>
      </w:r>
      <w:r>
        <w:rPr>
          <w:lang w:val="sr-RS"/>
        </w:rPr>
        <w:t xml:space="preserve">потребан број контејнера (и силоса) за складиштење  </w:t>
      </w:r>
      <w:r>
        <w:rPr>
          <w:rFonts w:eastAsia="Calibri" w:eastAsiaTheme="minorHAnsi"/>
          <w:lang w:val="sr-RS"/>
        </w:rPr>
        <w:t>хазардних и загађујућих материја</w:t>
      </w:r>
      <w:r>
        <w:rPr>
          <w:lang w:val="sr-RS"/>
        </w:rPr>
        <w:t xml:space="preserve"> и отпадног муља</w:t>
      </w:r>
      <w:bookmarkStart w:id="35" w:name="_Hlk125973660"/>
      <w:bookmarkEnd w:id="35"/>
      <w:r>
        <w:rPr>
          <w:lang w:val="sr-RS"/>
        </w:rPr>
        <w:t xml:space="preserve"> који настају у процесу пречишћавања воде која се третира кроз ППОВ. Број посуда одредити кроз главни пројекат за ППОВ , односно према сазнању о количини воде коју треба обрадити и</w:t>
      </w:r>
      <w:r>
        <w:rPr>
          <w:rFonts w:eastAsia="Calibri" w:eastAsiaTheme="minorHAnsi"/>
          <w:lang w:val="sr-RS"/>
        </w:rPr>
        <w:t xml:space="preserve"> уз сагласност надлежног санитарног органа.</w:t>
      </w:r>
    </w:p>
    <w:p>
      <w:pPr>
        <w:pStyle w:val="Normal"/>
        <w:ind w:firstLine="360"/>
        <w:rPr>
          <w:rFonts w:ascii="Times New Roman" w:hAnsi="Times New Roman"/>
        </w:rPr>
      </w:pPr>
      <w:r>
        <w:rPr>
          <w:szCs w:val="24"/>
          <w:lang w:val="sr-RS"/>
        </w:rPr>
        <w:t xml:space="preserve">Ово планирати </w:t>
      </w:r>
      <w:r>
        <w:rPr>
          <w:szCs w:val="24"/>
        </w:rPr>
        <w:t>у складу са важећим прописима којима се уређује поступање са овом врстом отпада</w:t>
      </w:r>
      <w:r>
        <w:rPr>
          <w:szCs w:val="24"/>
          <w:lang w:val="sr-RS"/>
        </w:rPr>
        <w:t>. П</w:t>
      </w:r>
      <w:r>
        <w:rPr>
          <w:szCs w:val="24"/>
        </w:rPr>
        <w:t xml:space="preserve">осуде </w:t>
      </w:r>
      <w:r>
        <w:rPr>
          <w:szCs w:val="24"/>
          <w:lang w:val="sr-RS"/>
        </w:rPr>
        <w:t>поставити на платое с</w:t>
      </w:r>
      <w:r>
        <w:rPr>
          <w:szCs w:val="24"/>
        </w:rPr>
        <w:t xml:space="preserve">а водонепропусним површинама, </w:t>
      </w:r>
      <w:r>
        <w:rPr>
          <w:szCs w:val="24"/>
          <w:lang w:val="sr-RS"/>
        </w:rPr>
        <w:t>за</w:t>
      </w:r>
      <w:r>
        <w:rPr>
          <w:szCs w:val="24"/>
        </w:rPr>
        <w:t xml:space="preserve"> привремено складиштењ</w:t>
      </w:r>
      <w:r>
        <w:rPr>
          <w:szCs w:val="24"/>
          <w:lang w:val="sr-RS"/>
        </w:rPr>
        <w:t>е</w:t>
      </w:r>
      <w:r>
        <w:rPr>
          <w:szCs w:val="24"/>
        </w:rPr>
        <w:t>, и то</w:t>
      </w:r>
      <w:r>
        <w:rPr>
          <w:szCs w:val="24"/>
          <w:lang w:val="sr-RS"/>
        </w:rPr>
        <w:t xml:space="preserve"> могу бити</w:t>
      </w:r>
      <w:r>
        <w:rPr>
          <w:szCs w:val="24"/>
        </w:rPr>
        <w:t>:</w:t>
      </w:r>
    </w:p>
    <w:p>
      <w:pPr>
        <w:pStyle w:val="Normal"/>
        <w:numPr>
          <w:ilvl w:val="0"/>
          <w:numId w:val="17"/>
        </w:numPr>
        <w:suppressAutoHyphens w:val="false"/>
        <w:rPr>
          <w:rFonts w:ascii="Times New Roman" w:hAnsi="Times New Roman"/>
        </w:rPr>
      </w:pPr>
      <w:r>
        <w:rPr>
          <w:szCs w:val="24"/>
        </w:rPr>
        <w:t>затворени контејнер за отпад са грубе и фине решетке,</w:t>
      </w:r>
    </w:p>
    <w:p>
      <w:pPr>
        <w:pStyle w:val="Normal"/>
        <w:numPr>
          <w:ilvl w:val="0"/>
          <w:numId w:val="17"/>
        </w:numPr>
        <w:suppressAutoHyphens w:val="false"/>
        <w:rPr>
          <w:rFonts w:ascii="Times New Roman" w:hAnsi="Times New Roman"/>
        </w:rPr>
      </w:pPr>
      <w:r>
        <w:rPr>
          <w:szCs w:val="24"/>
        </w:rPr>
        <w:t>контејнер/силос за отпадни песак,</w:t>
      </w:r>
    </w:p>
    <w:p>
      <w:pPr>
        <w:pStyle w:val="Normal"/>
        <w:numPr>
          <w:ilvl w:val="0"/>
          <w:numId w:val="17"/>
        </w:numPr>
        <w:suppressAutoHyphens w:val="false"/>
        <w:rPr>
          <w:rFonts w:ascii="Times New Roman" w:hAnsi="Times New Roman"/>
        </w:rPr>
      </w:pPr>
      <w:r>
        <w:rPr>
          <w:szCs w:val="24"/>
        </w:rPr>
        <w:t>затворени објекат за пречишћени отпадни муљ,</w:t>
      </w:r>
    </w:p>
    <w:p>
      <w:pPr>
        <w:pStyle w:val="Normal"/>
        <w:numPr>
          <w:ilvl w:val="0"/>
          <w:numId w:val="17"/>
        </w:numPr>
        <w:suppressAutoHyphens w:val="false"/>
        <w:rPr>
          <w:rFonts w:ascii="Times New Roman" w:hAnsi="Times New Roman"/>
        </w:rPr>
      </w:pPr>
      <w:r>
        <w:rPr>
          <w:szCs w:val="24"/>
        </w:rPr>
        <w:t xml:space="preserve">контејнер/објекат за амбалажни отпад (од хемикалија и сл) у складу са Законом о амбалажи и амбалажном отпаду („Службени гласник РС“, број 36/09 </w:t>
      </w:r>
      <w:r>
        <w:rPr>
          <w:szCs w:val="24"/>
          <w:lang w:val="sr-RS"/>
        </w:rPr>
        <w:t>и 95/2018 – др. закон</w:t>
      </w:r>
      <w:r>
        <w:rPr>
          <w:szCs w:val="24"/>
        </w:rPr>
        <w:t>),</w:t>
      </w:r>
    </w:p>
    <w:p>
      <w:pPr>
        <w:pStyle w:val="Normal"/>
        <w:numPr>
          <w:ilvl w:val="0"/>
          <w:numId w:val="17"/>
        </w:numPr>
        <w:suppressAutoHyphens w:val="false"/>
        <w:rPr>
          <w:rFonts w:ascii="Times New Roman" w:hAnsi="Times New Roman"/>
        </w:rPr>
      </w:pPr>
      <w:r>
        <w:rPr>
          <w:szCs w:val="24"/>
        </w:rPr>
        <w:t xml:space="preserve">контејнере за неопасни отпад (комунални отпад, рециклабилни отпад – папир, стакло, лименке, ПВЦ боце и сл), </w:t>
      </w:r>
      <w:r>
        <w:rPr>
          <w:szCs w:val="24"/>
          <w:lang w:val="ru-RU"/>
        </w:rPr>
        <w:t>до предаје правном лицу које је овлашћено, односно које има дозволу за управљање наведеним врстама отпада;</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 xml:space="preserve">Приступ судовима за </w:t>
      </w:r>
      <w:r>
        <w:rPr>
          <w:rFonts w:eastAsia="Times New Roman"/>
          <w:szCs w:val="24"/>
          <w:lang w:val="sr-RS"/>
        </w:rPr>
        <w:t xml:space="preserve">складиштење </w:t>
      </w:r>
      <w:r>
        <w:rPr>
          <w:szCs w:val="24"/>
        </w:rPr>
        <w:t>отпада</w:t>
      </w:r>
      <w:r>
        <w:rPr>
          <w:szCs w:val="24"/>
          <w:lang w:val="sr-RS"/>
        </w:rPr>
        <w:t xml:space="preserve"> (муља и песка)</w:t>
      </w:r>
      <w:r>
        <w:rPr>
          <w:rFonts w:eastAsia="Times New Roman"/>
          <w:szCs w:val="24"/>
        </w:rPr>
        <w:t xml:space="preserve"> мора бити неометан, тако да подлога за гурање контејнера мора бити од чврстог материјала без иједног степеника и са највећим нагибом до 2%. Ако су контејнери запремине 1100 литара поставити их на бетонираним површинама од 2m</w:t>
      </w:r>
      <w:r>
        <w:rPr>
          <w:rFonts w:eastAsia="Times New Roman"/>
          <w:szCs w:val="24"/>
          <w:vertAlign w:val="superscript"/>
          <w:lang w:val="sr-Latn-CS"/>
        </w:rPr>
        <w:t>2</w:t>
      </w:r>
      <w:r>
        <w:rPr>
          <w:rFonts w:eastAsia="Times New Roman"/>
          <w:szCs w:val="24"/>
          <w:lang w:val="sr-Latn-CS"/>
        </w:rPr>
        <w:t xml:space="preserve"> </w:t>
      </w:r>
      <w:r>
        <w:rPr>
          <w:rFonts w:eastAsia="Times New Roman"/>
          <w:szCs w:val="24"/>
        </w:rPr>
        <w:t xml:space="preserve">за сваки и са падом максимално 2% у нивоу коловоза ради могућег гурања. Пожељно је да буду визуелно сакривени зеленилом или на други начин. </w:t>
      </w:r>
    </w:p>
    <w:p>
      <w:pPr>
        <w:pStyle w:val="Normal"/>
        <w:tabs>
          <w:tab w:val="clear" w:pos="720"/>
          <w:tab w:val="left" w:pos="426" w:leader="none"/>
        </w:tabs>
        <w:suppressAutoHyphens w:val="false"/>
        <w:textAlignment w:val="center"/>
        <w:rPr>
          <w:rFonts w:ascii="Times New Roman" w:hAnsi="Times New Roman"/>
        </w:rPr>
      </w:pPr>
      <w:r>
        <w:rPr>
          <w:rFonts w:eastAsia="Times New Roman"/>
          <w:i/>
          <w:iCs/>
          <w:color w:val="00B0F0"/>
          <w:szCs w:val="24"/>
        </w:rPr>
        <w:tab/>
      </w:r>
      <w:r>
        <w:rPr>
          <w:rFonts w:eastAsia="Times New Roman"/>
          <w:i/>
          <w:iCs/>
          <w:szCs w:val="24"/>
        </w:rPr>
        <w:t xml:space="preserve">Потребно је обезбедити директан и несметан приступ возила </w:t>
      </w:r>
      <w:r>
        <w:rPr>
          <w:rFonts w:eastAsia="Times New Roman"/>
          <w:i/>
          <w:iCs/>
          <w:szCs w:val="24"/>
          <w:lang w:val="sr-RS"/>
        </w:rPr>
        <w:t xml:space="preserve">локацији за </w:t>
      </w:r>
      <w:r>
        <w:rPr>
          <w:rFonts w:eastAsia="Times New Roman"/>
          <w:i/>
          <w:iCs/>
          <w:szCs w:val="24"/>
        </w:rPr>
        <w:t xml:space="preserve">контејнере. </w:t>
      </w:r>
    </w:p>
    <w:p>
      <w:pPr>
        <w:pStyle w:val="ListParagraph"/>
        <w:tabs>
          <w:tab w:val="clear" w:pos="720"/>
          <w:tab w:val="left" w:pos="426" w:leader="none"/>
        </w:tabs>
        <w:ind w:left="0" w:firstLine="426"/>
        <w:rPr>
          <w:rFonts w:ascii="Times New Roman" w:hAnsi="Times New Roman" w:eastAsia="Calibri" w:eastAsiaTheme="minorHAnsi"/>
        </w:rPr>
      </w:pPr>
      <w:r>
        <w:rPr>
          <w:rFonts w:eastAsia="Calibri" w:eastAsiaTheme="minorHAnsi"/>
        </w:rPr>
      </w:r>
    </w:p>
    <w:p>
      <w:pPr>
        <w:pStyle w:val="ListParagraph"/>
        <w:tabs>
          <w:tab w:val="clear" w:pos="720"/>
          <w:tab w:val="left" w:pos="426" w:leader="none"/>
        </w:tabs>
        <w:ind w:left="0" w:firstLine="426"/>
        <w:rPr>
          <w:rFonts w:ascii="Times New Roman" w:hAnsi="Times New Roman" w:eastAsia="Calibri" w:eastAsiaTheme="minorHAnsi"/>
        </w:rPr>
      </w:pPr>
      <w:r>
        <w:rPr>
          <w:rFonts w:eastAsia="Calibri" w:eastAsiaTheme="minorHAnsi"/>
        </w:rPr>
      </w:r>
    </w:p>
    <w:p>
      <w:pPr>
        <w:pStyle w:val="ListParagraph"/>
        <w:tabs>
          <w:tab w:val="clear" w:pos="720"/>
          <w:tab w:val="left" w:pos="426" w:leader="none"/>
        </w:tabs>
        <w:ind w:left="0" w:firstLine="426"/>
        <w:rPr>
          <w:rFonts w:ascii="Times New Roman" w:hAnsi="Times New Roman" w:eastAsia="Calibri" w:eastAsiaTheme="minorHAnsi"/>
        </w:rPr>
      </w:pPr>
      <w:r>
        <w:rPr>
          <w:rFonts w:eastAsia="Calibri" w:eastAsiaTheme="minorHAnsi"/>
        </w:rPr>
      </w:r>
    </w:p>
    <w:p>
      <w:pPr>
        <w:pStyle w:val="ListParagraph"/>
        <w:tabs>
          <w:tab w:val="clear" w:pos="720"/>
          <w:tab w:val="left" w:pos="426" w:leader="none"/>
        </w:tabs>
        <w:ind w:left="0" w:firstLine="426"/>
        <w:rPr>
          <w:rFonts w:ascii="Times New Roman" w:hAnsi="Times New Roman" w:eastAsia="Calibri" w:eastAsiaTheme="minorHAnsi"/>
        </w:rPr>
      </w:pPr>
      <w:r>
        <w:rPr>
          <w:rFonts w:eastAsia="Calibri" w:eastAsiaTheme="minorHAnsi"/>
        </w:rPr>
      </w:r>
    </w:p>
    <w:p>
      <w:pPr>
        <w:pStyle w:val="ListParagraph"/>
        <w:tabs>
          <w:tab w:val="clear" w:pos="720"/>
          <w:tab w:val="left" w:pos="426" w:leader="none"/>
        </w:tabs>
        <w:ind w:left="0" w:firstLine="426"/>
        <w:rPr>
          <w:rFonts w:ascii="Times New Roman" w:hAnsi="Times New Roman" w:eastAsia="Calibri" w:eastAsiaTheme="minorHAnsi"/>
        </w:rPr>
      </w:pPr>
      <w:r>
        <w:rPr>
          <w:rFonts w:eastAsia="Calibri" w:eastAsiaTheme="minorHAnsi"/>
        </w:rPr>
      </w:r>
    </w:p>
    <w:p>
      <w:pPr>
        <w:pStyle w:val="ListParagraph"/>
        <w:numPr>
          <w:ilvl w:val="0"/>
          <w:numId w:val="4"/>
        </w:numPr>
        <w:tabs>
          <w:tab w:val="clear" w:pos="720"/>
          <w:tab w:val="left" w:pos="426" w:leader="none"/>
        </w:tabs>
        <w:ind w:left="0" w:hanging="0"/>
        <w:rPr>
          <w:rFonts w:ascii="Times New Roman" w:hAnsi="Times New Roman"/>
          <w:b/>
          <w:b/>
          <w:bCs/>
        </w:rPr>
      </w:pPr>
      <w:r>
        <w:rPr>
          <w:rFonts w:eastAsia="Calibri" w:eastAsiaTheme="minorHAnsi"/>
          <w:b/>
          <w:bCs/>
        </w:rPr>
        <w:t>Уређење зелених и слободних површина</w:t>
      </w:r>
    </w:p>
    <w:p>
      <w:pPr>
        <w:pStyle w:val="ListParagraph"/>
        <w:tabs>
          <w:tab w:val="clear" w:pos="720"/>
          <w:tab w:val="left" w:pos="426" w:leader="none"/>
        </w:tabs>
        <w:ind w:left="0" w:hanging="0"/>
        <w:rPr>
          <w:rFonts w:ascii="Times New Roman" w:hAnsi="Times New Roman"/>
        </w:rPr>
      </w:pPr>
      <w:r>
        <w:rPr>
          <w:rFonts w:eastAsia="Calibri" w:eastAsiaTheme="minorHAnsi"/>
        </w:rPr>
        <w:tab/>
        <w:t xml:space="preserve">Планиран простор за изградњу  ППОВ   по ободу </w:t>
      </w:r>
      <w:r>
        <w:rPr>
          <w:rFonts w:eastAsia="Calibri" w:eastAsiaTheme="minorHAnsi"/>
          <w:lang w:val="sr-RS"/>
        </w:rPr>
        <w:t xml:space="preserve">- </w:t>
      </w:r>
      <w:r>
        <w:rPr>
          <w:rFonts w:eastAsia="Calibri" w:eastAsiaTheme="minorHAnsi"/>
        </w:rPr>
        <w:t>(уз ограду</w:t>
      </w:r>
      <w:r>
        <w:rPr>
          <w:rFonts w:eastAsia="Calibri" w:eastAsiaTheme="minorHAnsi"/>
          <w:lang w:val="sr-RS"/>
        </w:rPr>
        <w:t xml:space="preserve"> - осим дуж речног тока</w:t>
      </w:r>
      <w:r>
        <w:rPr>
          <w:rFonts w:eastAsia="Calibri" w:eastAsiaTheme="minorHAnsi"/>
        </w:rPr>
        <w:t xml:space="preserve">) у </w:t>
      </w:r>
      <w:r>
        <w:rPr>
          <w:rFonts w:eastAsia="Calibri" w:eastAsiaTheme="minorHAnsi"/>
          <w:b/>
          <w:bCs/>
        </w:rPr>
        <w:t>ширини од 3,0</w:t>
      </w:r>
      <w:r>
        <w:rPr>
          <w:rFonts w:eastAsia="Calibri" w:eastAsiaTheme="minorHAnsi"/>
          <w:b/>
          <w:bCs/>
          <w:lang w:val="sr-Latn-RS"/>
        </w:rPr>
        <w:t>m</w:t>
      </w:r>
      <w:r>
        <w:rPr>
          <w:rFonts w:eastAsia="Calibri" w:eastAsiaTheme="minorHAnsi"/>
        </w:rPr>
        <w:t xml:space="preserve"> озеленити високим растињем</w:t>
      </w:r>
      <w:r>
        <w:rPr/>
        <w:t xml:space="preserve"> и жбунастим растињем </w:t>
      </w:r>
      <w:r>
        <w:rPr>
          <w:lang w:val="sr-RS"/>
        </w:rPr>
        <w:t>(</w:t>
      </w:r>
      <w:r>
        <w:rPr/>
        <w:t>предност се даје листопадном дрвећу пошто је ефектније</w:t>
      </w:r>
      <w:r>
        <w:rPr>
          <w:lang w:val="sr-RS"/>
        </w:rPr>
        <w:t>)</w:t>
      </w:r>
      <w:r>
        <w:rPr/>
        <w:t>.</w:t>
      </w:r>
      <w:r>
        <w:rPr>
          <w:rFonts w:eastAsia="Calibri" w:eastAsiaTheme="minorHAnsi"/>
        </w:rPr>
        <w:t xml:space="preserve"> </w:t>
      </w:r>
      <w:r>
        <w:rPr/>
        <w:t>На осталим зеленим површина препорука је садити композиције декоративног растиња.</w:t>
      </w:r>
      <w:r>
        <w:rPr>
          <w:lang w:val="sr-RS"/>
        </w:rPr>
        <w:t xml:space="preserve"> Ова решења обрадити и оплеменити према просторном решењу постројења.</w:t>
      </w:r>
    </w:p>
    <w:p>
      <w:pPr>
        <w:pStyle w:val="ListParagraph"/>
        <w:ind w:left="0" w:firstLine="450"/>
        <w:rPr>
          <w:rFonts w:ascii="Times New Roman" w:hAnsi="Times New Roman"/>
        </w:rPr>
      </w:pPr>
      <w:r>
        <w:rPr/>
        <w:t xml:space="preserve">Зелене површине оплеменити неалергентима </w:t>
      </w:r>
      <w:r>
        <w:rPr>
          <w:rFonts w:eastAsia="Times New Roman"/>
        </w:rPr>
        <w:t>које ће имати улогу апсорпционог појаса за заштиту околине, као и спољашњу заштиту објеката унутар комплекса.</w:t>
      </w:r>
    </w:p>
    <w:p>
      <w:pPr>
        <w:pStyle w:val="Normal"/>
        <w:ind w:firstLine="720"/>
        <w:rPr>
          <w:rFonts w:ascii="Times New Roman" w:hAnsi="Times New Roman"/>
        </w:rPr>
      </w:pPr>
      <w:r>
        <w:rPr>
          <w:szCs w:val="24"/>
        </w:rPr>
        <w:t>Пожељно је садити :</w:t>
      </w:r>
    </w:p>
    <w:p>
      <w:pPr>
        <w:pStyle w:val="Normal"/>
        <w:rPr>
          <w:rFonts w:ascii="Times New Roman" w:hAnsi="Times New Roman"/>
        </w:rPr>
      </w:pPr>
      <w:r>
        <w:rPr>
          <w:szCs w:val="24"/>
        </w:rPr>
        <w:t>- ниж</w:t>
      </w:r>
      <w:r>
        <w:rPr>
          <w:szCs w:val="24"/>
          <w:lang w:val="sr-Latn-RS"/>
        </w:rPr>
        <w:t>e</w:t>
      </w:r>
      <w:r>
        <w:rPr>
          <w:szCs w:val="24"/>
        </w:rPr>
        <w:t xml:space="preserve"> лишћар</w:t>
      </w:r>
      <w:r>
        <w:rPr>
          <w:szCs w:val="24"/>
          <w:lang w:val="sr-Latn-RS"/>
        </w:rPr>
        <w:t>e</w:t>
      </w:r>
      <w:r>
        <w:rPr>
          <w:szCs w:val="24"/>
        </w:rPr>
        <w:t>: Laburnum anagiroides (зановет, златна киша), Acer palmatum, A. ginala (јавори), Catalpa bignonioides (каталпа), Cercis siliquastrum (јудино дрво), Rhus sp. (руј) и др;</w:t>
      </w:r>
    </w:p>
    <w:p>
      <w:pPr>
        <w:pStyle w:val="Normal"/>
        <w:rPr>
          <w:rFonts w:ascii="Times New Roman" w:hAnsi="Times New Roman"/>
        </w:rPr>
      </w:pPr>
      <w:r>
        <w:rPr>
          <w:szCs w:val="24"/>
        </w:rPr>
        <w:t>- жбунасте врсте и форме лишћара: Forsythia sp. Spirea sp. (суручица), Jasminum sp. (јасмин), Berberis sp., Cotoneaster sp. (дуњарица), Hibiscus syriacus (сиријска ружа) и др;</w:t>
      </w:r>
    </w:p>
    <w:p>
      <w:pPr>
        <w:pStyle w:val="Normal"/>
        <w:rPr>
          <w:szCs w:val="24"/>
        </w:rPr>
      </w:pPr>
      <w:r>
        <w:rPr>
          <w:szCs w:val="24"/>
        </w:rPr>
      </w:r>
    </w:p>
    <w:p>
      <w:pPr>
        <w:pStyle w:val="NoSpacing"/>
        <w:tabs>
          <w:tab w:val="clear" w:pos="720"/>
          <w:tab w:val="left" w:pos="709" w:leader="none"/>
        </w:tabs>
        <w:spacing w:lineRule="auto" w:line="276"/>
        <w:jc w:val="both"/>
        <w:rPr>
          <w:rFonts w:ascii="Times New Roman" w:hAnsi="Times New Roman"/>
        </w:rPr>
      </w:pPr>
      <w:r>
        <w:rPr>
          <w:rFonts w:eastAsia="Times New Roman" w:ascii="Times New Roman" w:hAnsi="Times New Roman"/>
          <w:sz w:val="24"/>
          <w:szCs w:val="24"/>
        </w:rPr>
        <w:t>Стандардне саднице дрвећа које се могу садити морају задовољити следеће основне услове:</w:t>
      </w:r>
    </w:p>
    <w:p>
      <w:pPr>
        <w:pStyle w:val="NoSpacing"/>
        <w:jc w:val="both"/>
        <w:rPr>
          <w:rFonts w:ascii="Times New Roman" w:hAnsi="Times New Roman"/>
        </w:rPr>
      </w:pPr>
      <w:r>
        <w:rPr>
          <w:rFonts w:eastAsia="Times New Roman" w:ascii="Times New Roman" w:hAnsi="Times New Roman"/>
          <w:sz w:val="24"/>
          <w:szCs w:val="24"/>
        </w:rPr>
        <w:t>- не смеју да буду млађе од 8 година;</w:t>
      </w:r>
    </w:p>
    <w:p>
      <w:pPr>
        <w:pStyle w:val="NoSpacing"/>
        <w:jc w:val="both"/>
        <w:rPr>
          <w:rFonts w:ascii="Times New Roman" w:hAnsi="Times New Roman"/>
        </w:rPr>
      </w:pPr>
      <w:r>
        <w:rPr>
          <w:rFonts w:eastAsia="Times New Roman" w:ascii="Times New Roman" w:hAnsi="Times New Roman"/>
          <w:sz w:val="24"/>
          <w:szCs w:val="24"/>
        </w:rPr>
        <w:t>- морају да имају висину од најмање 2,</w:t>
      </w:r>
      <w:r>
        <w:rPr>
          <w:rFonts w:eastAsia="Times New Roman" w:ascii="Times New Roman" w:hAnsi="Times New Roman"/>
          <w:sz w:val="24"/>
          <w:szCs w:val="24"/>
          <w:lang w:val="sr-RS"/>
        </w:rPr>
        <w:t>0</w:t>
      </w:r>
      <w:r>
        <w:rPr>
          <w:rFonts w:eastAsia="Times New Roman" w:cs="Times New Roman" w:ascii="Times New Roman" w:hAnsi="Times New Roman"/>
          <w:color w:val="auto"/>
          <w:kern w:val="0"/>
          <w:sz w:val="24"/>
          <w:szCs w:val="24"/>
          <w:lang w:val="sr-Latn-RS" w:eastAsia="en-US" w:bidi="ar-SA"/>
        </w:rPr>
        <w:t>m</w:t>
      </w:r>
      <w:r>
        <w:rPr>
          <w:rFonts w:eastAsia="Times New Roman" w:ascii="Times New Roman" w:hAnsi="Times New Roman"/>
          <w:sz w:val="24"/>
          <w:szCs w:val="24"/>
        </w:rPr>
        <w:t xml:space="preserve"> за лишћарске и 1,5</w:t>
      </w:r>
      <w:r>
        <w:rPr>
          <w:rFonts w:eastAsia="Times New Roman" w:cs="Times New Roman" w:ascii="Times New Roman" w:hAnsi="Times New Roman"/>
          <w:color w:val="auto"/>
          <w:kern w:val="0"/>
          <w:sz w:val="24"/>
          <w:szCs w:val="24"/>
          <w:lang w:val="sr-Latn-RS" w:eastAsia="en-US" w:bidi="ar-SA"/>
        </w:rPr>
        <w:t>m</w:t>
      </w:r>
      <w:r>
        <w:rPr>
          <w:rFonts w:eastAsia="Times New Roman" w:ascii="Times New Roman" w:hAnsi="Times New Roman"/>
          <w:sz w:val="24"/>
          <w:szCs w:val="24"/>
        </w:rPr>
        <w:t xml:space="preserve"> за четинарске врсте,</w:t>
      </w:r>
    </w:p>
    <w:p>
      <w:pPr>
        <w:pStyle w:val="NoSpacing"/>
        <w:jc w:val="both"/>
        <w:rPr>
          <w:rFonts w:ascii="Times New Roman" w:hAnsi="Times New Roman"/>
        </w:rPr>
      </w:pPr>
      <w:r>
        <w:rPr>
          <w:rFonts w:eastAsia="Times New Roman" w:ascii="Times New Roman" w:hAnsi="Times New Roman"/>
          <w:sz w:val="24"/>
          <w:szCs w:val="24"/>
        </w:rPr>
        <w:t>- морају бити потпуно здраве крошње, без механичких повреда и трулежи,</w:t>
      </w:r>
    </w:p>
    <w:p>
      <w:pPr>
        <w:pStyle w:val="NoSpacing"/>
        <w:jc w:val="both"/>
        <w:rPr>
          <w:rFonts w:ascii="Times New Roman" w:hAnsi="Times New Roman"/>
        </w:rPr>
      </w:pPr>
      <w:r>
        <w:rPr>
          <w:rFonts w:eastAsia="Times New Roman" w:ascii="Times New Roman" w:hAnsi="Times New Roman"/>
          <w:sz w:val="24"/>
          <w:szCs w:val="24"/>
        </w:rPr>
        <w:t>- морају да имају добро развијену крошњу, односно добро изражене главне гране, изражен врх (ако је то особност врсте) и развијену крошњу свуда око дебла,</w:t>
      </w:r>
    </w:p>
    <w:p>
      <w:pPr>
        <w:pStyle w:val="NoSpacing"/>
        <w:jc w:val="both"/>
        <w:rPr>
          <w:rFonts w:ascii="Times New Roman" w:hAnsi="Times New Roman"/>
        </w:rPr>
      </w:pPr>
      <w:r>
        <w:rPr>
          <w:rFonts w:eastAsia="Times New Roman" w:ascii="Times New Roman" w:hAnsi="Times New Roman"/>
          <w:sz w:val="24"/>
          <w:szCs w:val="24"/>
        </w:rPr>
        <w:t>- на деблу не сме да буде никаквих повреда, рана и пукотина,</w:t>
      </w:r>
    </w:p>
    <w:p>
      <w:pPr>
        <w:pStyle w:val="NoSpacing"/>
        <w:jc w:val="both"/>
        <w:rPr>
          <w:rFonts w:ascii="Times New Roman" w:hAnsi="Times New Roman"/>
        </w:rPr>
      </w:pPr>
      <w:r>
        <w:rPr>
          <w:rFonts w:eastAsia="Times New Roman" w:ascii="Times New Roman" w:hAnsi="Times New Roman"/>
          <w:sz w:val="24"/>
          <w:szCs w:val="24"/>
        </w:rPr>
        <w:t>- дебло мора да буде право, са малим падом пречника (осим ако је то особина врсте),</w:t>
      </w:r>
    </w:p>
    <w:p>
      <w:pPr>
        <w:pStyle w:val="NoSpacing"/>
        <w:jc w:val="both"/>
        <w:rPr>
          <w:rFonts w:ascii="Times New Roman" w:hAnsi="Times New Roman"/>
        </w:rPr>
      </w:pPr>
      <w:r>
        <w:rPr>
          <w:rFonts w:eastAsia="Times New Roman" w:ascii="Times New Roman" w:hAnsi="Times New Roman"/>
          <w:sz w:val="24"/>
          <w:szCs w:val="24"/>
        </w:rPr>
        <w:t>- коренов систем мора да буде добро развијен, без сувишних и сувише дугих главних жила.</w:t>
      </w:r>
      <w:bookmarkStart w:id="36" w:name="_Hlk125973693"/>
      <w:bookmarkEnd w:id="36"/>
    </w:p>
    <w:p>
      <w:pPr>
        <w:pStyle w:val="ListParagraph"/>
        <w:tabs>
          <w:tab w:val="clear" w:pos="720"/>
          <w:tab w:val="left" w:pos="426" w:leader="none"/>
        </w:tabs>
        <w:ind w:left="0" w:hanging="0"/>
        <w:rPr>
          <w:rFonts w:ascii="Times New Roman" w:hAnsi="Times New Roman" w:eastAsia="Calibri" w:eastAsiaTheme="minorHAnsi"/>
        </w:rPr>
      </w:pPr>
      <w:r>
        <w:rPr>
          <w:rFonts w:eastAsia="Calibri" w:eastAsiaTheme="minorHAnsi"/>
        </w:rPr>
      </w:r>
    </w:p>
    <w:p>
      <w:pPr>
        <w:pStyle w:val="ListParagraph"/>
        <w:tabs>
          <w:tab w:val="clear" w:pos="720"/>
          <w:tab w:val="left" w:pos="426" w:leader="none"/>
        </w:tabs>
        <w:ind w:left="0" w:hanging="0"/>
        <w:rPr>
          <w:rFonts w:ascii="Times New Roman" w:hAnsi="Times New Roman" w:eastAsia="Calibri" w:eastAsiaTheme="minorHAnsi"/>
        </w:rPr>
      </w:pPr>
      <w:r>
        <w:rPr>
          <w:rFonts w:eastAsia="Calibri" w:eastAsiaTheme="minorHAnsi"/>
        </w:rPr>
      </w:r>
    </w:p>
    <w:p>
      <w:pPr>
        <w:pStyle w:val="ListParagraph"/>
        <w:numPr>
          <w:ilvl w:val="0"/>
          <w:numId w:val="4"/>
        </w:numPr>
        <w:tabs>
          <w:tab w:val="clear" w:pos="720"/>
          <w:tab w:val="left" w:pos="426" w:leader="none"/>
        </w:tabs>
        <w:ind w:left="0" w:hanging="0"/>
        <w:rPr>
          <w:rFonts w:ascii="Times New Roman" w:hAnsi="Times New Roman"/>
          <w:b/>
          <w:b/>
          <w:bCs/>
        </w:rPr>
      </w:pPr>
      <w:r>
        <w:rPr>
          <w:rFonts w:eastAsia="Calibri" w:eastAsiaTheme="minorHAnsi"/>
          <w:b/>
          <w:bCs/>
        </w:rPr>
        <w:t>Степен комуналне опремљености грађевинског земљишта по целинама/зонама из планског документа, који је потребан за издавање локацијских услова и грађевинске дозволе</w:t>
      </w:r>
    </w:p>
    <w:p>
      <w:pPr>
        <w:pStyle w:val="Normal"/>
        <w:tabs>
          <w:tab w:val="clear" w:pos="720"/>
          <w:tab w:val="left" w:pos="426" w:leader="none"/>
        </w:tabs>
        <w:ind w:firstLine="426"/>
        <w:rPr>
          <w:rFonts w:ascii="Times New Roman" w:hAnsi="Times New Roman"/>
        </w:rPr>
      </w:pPr>
      <w:r>
        <w:rPr>
          <w:szCs w:val="24"/>
        </w:rPr>
        <w:t>За издавање локацијских услова и грађевинске дозволе обавезно је обезбедити приступ јавној саобраћајној површини. Осим обезбеђења приступног пута, неопходно је да парцела има могућност прикључења на све потребне јавне инфраструктурне мреже.</w:t>
      </w:r>
    </w:p>
    <w:p>
      <w:pPr>
        <w:pStyle w:val="Normal"/>
        <w:tabs>
          <w:tab w:val="clear" w:pos="720"/>
          <w:tab w:val="left" w:pos="426" w:leader="none"/>
        </w:tabs>
        <w:ind w:firstLine="426"/>
        <w:rPr>
          <w:rFonts w:ascii="Times New Roman" w:hAnsi="Times New Roman"/>
        </w:rPr>
      </w:pPr>
      <w:r>
        <w:rPr>
          <w:szCs w:val="24"/>
        </w:rPr>
        <w:t>Планирано ППОВ треба својим изгледом, одабраним материјалима и организацијом објеката у простору да има позитивне амбијенталне и архитектонске карактеристике. Концепција организације простора да укомпонује потребну савремену технологију, саобраћајне и зелене површине у визуелно прихватљиву целину.</w:t>
      </w:r>
    </w:p>
    <w:p>
      <w:pPr>
        <w:pStyle w:val="Normal"/>
        <w:tabs>
          <w:tab w:val="clear" w:pos="720"/>
          <w:tab w:val="left" w:pos="426" w:leader="none"/>
        </w:tabs>
        <w:ind w:firstLine="426"/>
        <w:rPr>
          <w:rFonts w:ascii="Times New Roman" w:hAnsi="Times New Roman"/>
          <w:szCs w:val="24"/>
        </w:rPr>
      </w:pPr>
      <w:r>
        <w:rPr>
          <w:szCs w:val="24"/>
        </w:rPr>
      </w:r>
    </w:p>
    <w:p>
      <w:pPr>
        <w:pStyle w:val="Normal"/>
        <w:tabs>
          <w:tab w:val="clear" w:pos="720"/>
          <w:tab w:val="left" w:pos="426" w:leader="none"/>
        </w:tabs>
        <w:ind w:firstLine="426"/>
        <w:rPr>
          <w:rFonts w:ascii="Times New Roman" w:hAnsi="Times New Roman"/>
          <w:b/>
          <w:b/>
          <w:bCs/>
          <w:szCs w:val="24"/>
        </w:rPr>
      </w:pPr>
      <w:r>
        <w:rPr>
          <w:b/>
          <w:bCs/>
          <w:szCs w:val="24"/>
        </w:rPr>
      </w:r>
    </w:p>
    <w:p>
      <w:pPr>
        <w:pStyle w:val="Normal"/>
        <w:numPr>
          <w:ilvl w:val="0"/>
          <w:numId w:val="4"/>
        </w:numPr>
        <w:tabs>
          <w:tab w:val="clear" w:pos="720"/>
          <w:tab w:val="left" w:pos="426" w:leader="none"/>
        </w:tabs>
        <w:ind w:left="0" w:hanging="0"/>
        <w:rPr>
          <w:rFonts w:ascii="Times New Roman" w:hAnsi="Times New Roman"/>
          <w:b/>
          <w:b/>
          <w:bCs/>
        </w:rPr>
      </w:pPr>
      <w:r>
        <w:rPr>
          <w:rFonts w:eastAsia="Calibri" w:eastAsiaTheme="minorHAnsi"/>
          <w:b/>
          <w:bCs/>
          <w:szCs w:val="24"/>
        </w:rPr>
        <w:t>У</w:t>
      </w:r>
      <w:r>
        <w:rPr>
          <w:rFonts w:eastAsia="Calibri" w:eastAsiaTheme="minorHAnsi"/>
          <w:b/>
          <w:bCs/>
          <w:szCs w:val="24"/>
          <w:lang w:val="en-GB"/>
        </w:rPr>
        <w:t xml:space="preserve">слови </w:t>
      </w:r>
      <w:r>
        <w:rPr>
          <w:rFonts w:eastAsia="Calibri" w:eastAsiaTheme="minorHAnsi"/>
          <w:b/>
          <w:bCs/>
          <w:szCs w:val="24"/>
        </w:rPr>
        <w:t xml:space="preserve">и мере </w:t>
      </w:r>
      <w:r>
        <w:rPr>
          <w:rFonts w:eastAsia="Calibri" w:eastAsiaTheme="minorHAnsi"/>
          <w:b/>
          <w:bCs/>
          <w:szCs w:val="24"/>
          <w:lang w:val="en-GB"/>
        </w:rPr>
        <w:t>заштит</w:t>
      </w:r>
      <w:r>
        <w:rPr>
          <w:rFonts w:eastAsia="Calibri" w:eastAsiaTheme="minorHAnsi"/>
          <w:b/>
          <w:bCs/>
          <w:szCs w:val="24"/>
        </w:rPr>
        <w:t>е</w:t>
      </w:r>
      <w:r>
        <w:rPr>
          <w:rFonts w:eastAsia="Calibri" w:eastAsiaTheme="minorHAnsi"/>
          <w:b/>
          <w:bCs/>
          <w:szCs w:val="24"/>
          <w:lang w:val="en-GB"/>
        </w:rPr>
        <w:t xml:space="preserve"> </w:t>
      </w:r>
    </w:p>
    <w:p>
      <w:pPr>
        <w:pStyle w:val="ListParagraph"/>
        <w:suppressAutoHyphens w:val="false"/>
        <w:ind w:left="0" w:firstLine="426"/>
        <w:rPr>
          <w:rFonts w:ascii="Times New Roman" w:hAnsi="Times New Roman"/>
        </w:rPr>
      </w:pPr>
      <w:r>
        <w:rPr>
          <w:bCs/>
          <w:lang w:val="ru-RU"/>
        </w:rPr>
        <w:t>За План детаљне регулације за постројењ</w:t>
      </w:r>
      <w:r>
        <w:rPr>
          <w:bCs/>
        </w:rPr>
        <w:t>е</w:t>
      </w:r>
      <w:r>
        <w:rPr>
          <w:bCs/>
          <w:lang w:val="ru-RU"/>
        </w:rPr>
        <w:t xml:space="preserve"> за пречишћавање оптадних вода насеља Витошевац урађена </w:t>
      </w:r>
      <w:r>
        <w:rPr/>
        <w:t xml:space="preserve"> је „Стратешка процена утицаја на животну средину </w:t>
      </w:r>
      <w:r>
        <w:rPr>
          <w:bCs/>
          <w:lang w:val="ru-RU"/>
        </w:rPr>
        <w:t>План детаљне регулације за постројењ</w:t>
      </w:r>
      <w:r>
        <w:rPr>
          <w:bCs/>
        </w:rPr>
        <w:t>е</w:t>
      </w:r>
      <w:r>
        <w:rPr>
          <w:bCs/>
          <w:lang w:val="ru-RU"/>
        </w:rPr>
        <w:t xml:space="preserve"> за пречишћавање оптадних вода насеља Витошевац</w:t>
      </w:r>
      <w:r>
        <w:rPr>
          <w:bCs/>
          <w:szCs w:val="24"/>
          <w:lang w:val="ru-RU"/>
        </w:rPr>
        <w:t>“</w:t>
      </w:r>
      <w:r>
        <w:rPr>
          <w:lang w:val="ru-RU"/>
        </w:rPr>
        <w:t>,</w:t>
      </w:r>
      <w:r>
        <w:rPr/>
        <w:t xml:space="preserve"> која је саставни део овог </w:t>
      </w:r>
      <w:r>
        <w:rPr>
          <w:rFonts w:eastAsia="" w:cs="Times New Roman" w:eastAsiaTheme="minorEastAsia"/>
          <w:color w:val="auto"/>
          <w:kern w:val="0"/>
          <w:sz w:val="24"/>
          <w:szCs w:val="24"/>
          <w:lang w:val="sr-RS" w:eastAsia="en-US" w:bidi="ar-SA"/>
        </w:rPr>
        <w:t>П</w:t>
      </w:r>
      <w:r>
        <w:rPr/>
        <w:t>лана.</w:t>
      </w:r>
    </w:p>
    <w:p>
      <w:pPr>
        <w:pStyle w:val="ListParagraph"/>
        <w:suppressAutoHyphens w:val="false"/>
        <w:ind w:left="0" w:firstLine="426"/>
        <w:rPr>
          <w:rFonts w:ascii="Times New Roman" w:hAnsi="Times New Roman"/>
        </w:rPr>
      </w:pPr>
      <w:r>
        <w:rPr/>
      </w:r>
    </w:p>
    <w:p>
      <w:pPr>
        <w:pStyle w:val="ListParagraph"/>
        <w:numPr>
          <w:ilvl w:val="1"/>
          <w:numId w:val="4"/>
        </w:numPr>
        <w:tabs>
          <w:tab w:val="clear" w:pos="720"/>
          <w:tab w:val="left" w:pos="426" w:leader="none"/>
        </w:tabs>
        <w:suppressAutoHyphens w:val="false"/>
        <w:rPr>
          <w:rFonts w:ascii="Times New Roman" w:hAnsi="Times New Roman"/>
          <w:b/>
          <w:b/>
          <w:bCs/>
        </w:rPr>
      </w:pPr>
      <w:r>
        <w:rPr>
          <w:rFonts w:eastAsia="SimSun"/>
          <w:b/>
          <w:bCs/>
        </w:rPr>
        <w:t xml:space="preserve">Услови и мере заштите животне средине и живота и здравља људи </w:t>
      </w:r>
    </w:p>
    <w:p>
      <w:pPr>
        <w:pStyle w:val="Normal"/>
        <w:ind w:firstLine="426"/>
        <w:rPr>
          <w:rFonts w:ascii="Times New Roman" w:hAnsi="Times New Roman"/>
        </w:rPr>
      </w:pPr>
      <w:r>
        <w:rPr>
          <w:rFonts w:eastAsia="CIDFont+F5"/>
          <w:szCs w:val="24"/>
        </w:rPr>
        <w:t>Могући утицаји на животну средину на Планском подручју (али и његовој околини) који могу настати као последица планираних активности су:</w:t>
      </w:r>
    </w:p>
    <w:p>
      <w:pPr>
        <w:pStyle w:val="Normal"/>
        <w:rPr>
          <w:rFonts w:ascii="Times New Roman" w:hAnsi="Times New Roman"/>
        </w:rPr>
      </w:pPr>
      <w:r>
        <w:rPr>
          <w:rFonts w:eastAsia="CIDFont+F5"/>
          <w:szCs w:val="24"/>
        </w:rPr>
        <w:t>- Загађивање, ваздуха, тла, подземних вода радом планираних објеката који нису у складу са важећим технолошким нормативима за изградњу за примену технологија и процеса који не стварају прописане стандарде заштите животне средине.</w:t>
      </w:r>
    </w:p>
    <w:p>
      <w:pPr>
        <w:pStyle w:val="Normal"/>
        <w:rPr>
          <w:rFonts w:ascii="Times New Roman" w:hAnsi="Times New Roman"/>
        </w:rPr>
      </w:pPr>
      <w:r>
        <w:rPr>
          <w:rFonts w:eastAsia="CIDFont+F5"/>
          <w:szCs w:val="24"/>
        </w:rPr>
        <w:t xml:space="preserve">- Загађење ваздуха, земљишта и подземних вода услед неадекватног и неодговарајућег складиштења сировина, полупроизвода и производа и неадекватног начина прикупљања и поступања са отпадним материјалима. </w:t>
      </w:r>
    </w:p>
    <w:p>
      <w:pPr>
        <w:pStyle w:val="Normal"/>
        <w:rPr>
          <w:rFonts w:ascii="Times New Roman" w:hAnsi="Times New Roman"/>
        </w:rPr>
      </w:pPr>
      <w:r>
        <w:rPr>
          <w:rFonts w:eastAsia="CIDFont+F5"/>
          <w:szCs w:val="24"/>
        </w:rPr>
        <w:t>- Уништавање хумусног слоја земљишта који се тренутно налази на предметној локацији</w:t>
      </w:r>
    </w:p>
    <w:p>
      <w:pPr>
        <w:pStyle w:val="Normal"/>
        <w:rPr>
          <w:rFonts w:ascii="Times New Roman" w:hAnsi="Times New Roman"/>
        </w:rPr>
      </w:pPr>
      <w:r>
        <w:rPr>
          <w:rFonts w:eastAsia="CIDFont+F5"/>
          <w:szCs w:val="24"/>
        </w:rPr>
        <w:t xml:space="preserve">- Повећање нивоа буке радом возила на манипулативним интерним саобраћајним површинама и радом постројења. </w:t>
      </w:r>
    </w:p>
    <w:p>
      <w:pPr>
        <w:pStyle w:val="Normal"/>
        <w:ind w:firstLine="426"/>
        <w:rPr>
          <w:rFonts w:ascii="Times New Roman" w:hAnsi="Times New Roman"/>
        </w:rPr>
      </w:pPr>
      <w:r>
        <w:rPr>
          <w:rFonts w:eastAsia="CIDFont+F5"/>
          <w:szCs w:val="24"/>
        </w:rPr>
        <w:t xml:space="preserve">Мере заштите имају за циљ спречавање угрожавања животне средине и здравља људи тако што ће негативне утицаје на животну средину у оквиру планског подручја свести у границе прихватљивости. </w:t>
      </w:r>
    </w:p>
    <w:p>
      <w:pPr>
        <w:pStyle w:val="Normal"/>
        <w:ind w:firstLine="426"/>
        <w:rPr>
          <w:rFonts w:ascii="Times New Roman" w:hAnsi="Times New Roman"/>
        </w:rPr>
      </w:pPr>
      <w:r>
        <w:rPr>
          <w:rFonts w:eastAsia="CIDFont+F5"/>
          <w:szCs w:val="24"/>
        </w:rPr>
        <w:t xml:space="preserve">Заштита животне средине подразумева поштовање општих мера заштите животне средине и природе као и свих техничко-технолошких мера и прописа утврђених важећом законском регулативом: </w:t>
      </w:r>
    </w:p>
    <w:p>
      <w:pPr>
        <w:pStyle w:val="Normal"/>
        <w:ind w:firstLine="426"/>
        <w:rPr>
          <w:rFonts w:ascii="Times New Roman" w:hAnsi="Times New Roman"/>
        </w:rPr>
      </w:pPr>
      <w:r>
        <w:rPr>
          <w:rFonts w:eastAsia="CIDFont+F5"/>
          <w:szCs w:val="24"/>
          <w:lang w:val="sr-RS"/>
        </w:rPr>
        <w:t>У периоди  изградње постројења:</w:t>
      </w:r>
    </w:p>
    <w:p>
      <w:pPr>
        <w:pStyle w:val="Normal"/>
        <w:rPr>
          <w:rFonts w:ascii="Times New Roman" w:hAnsi="Times New Roman"/>
        </w:rPr>
      </w:pPr>
      <w:r>
        <w:rPr>
          <w:rFonts w:eastAsia="CIDFont+F5"/>
          <w:color w:val="00B0F0"/>
          <w:szCs w:val="24"/>
        </w:rPr>
        <w:t xml:space="preserve">- </w:t>
      </w:r>
      <w:r>
        <w:rPr>
          <w:rFonts w:eastAsia="CIDFont+F5"/>
          <w:szCs w:val="24"/>
        </w:rPr>
        <w:t>Поштовати Закон о заштити животне средине и другу законску регулативу из ове области.</w:t>
      </w:r>
    </w:p>
    <w:p>
      <w:pPr>
        <w:pStyle w:val="Normal"/>
        <w:rPr>
          <w:rFonts w:ascii="Times New Roman" w:hAnsi="Times New Roman"/>
        </w:rPr>
      </w:pPr>
      <w:r>
        <w:rPr>
          <w:rFonts w:eastAsia="CIDFont+F5"/>
          <w:szCs w:val="24"/>
        </w:rPr>
        <w:t>- Вршити редовно квашење запрашених површина и спречити расипање грађевинског материјала током транспорта.</w:t>
      </w:r>
    </w:p>
    <w:p>
      <w:pPr>
        <w:pStyle w:val="Normal"/>
        <w:rPr>
          <w:rFonts w:ascii="Times New Roman" w:hAnsi="Times New Roman"/>
        </w:rPr>
      </w:pPr>
      <w:r>
        <w:rPr>
          <w:rFonts w:eastAsia="CIDFont+F5"/>
          <w:szCs w:val="24"/>
        </w:rPr>
        <w:t xml:space="preserve">- Утврдити обавезу санације земљишта у случају изливања уља и горива током рада грађевинских машина и механизације. </w:t>
      </w:r>
    </w:p>
    <w:p>
      <w:pPr>
        <w:pStyle w:val="Normal"/>
        <w:rPr>
          <w:rFonts w:ascii="Times New Roman" w:hAnsi="Times New Roman"/>
        </w:rPr>
      </w:pPr>
      <w:r>
        <w:rPr>
          <w:rFonts w:eastAsia="CIDFont+F5"/>
          <w:szCs w:val="24"/>
        </w:rPr>
        <w:t>- Отпадни материјал који нестане у процесу изградње (комунални отпад, грађевински материјал, пластика, папир, старе гуме) прописно сакупити, разврстати и одложити на предвиђену локацију.</w:t>
      </w:r>
    </w:p>
    <w:p>
      <w:pPr>
        <w:pStyle w:val="Normal"/>
        <w:rPr>
          <w:rFonts w:ascii="Times New Roman" w:hAnsi="Times New Roman"/>
        </w:rPr>
      </w:pPr>
      <w:r>
        <w:rPr>
          <w:rFonts w:eastAsia="CIDFont+F5"/>
          <w:szCs w:val="24"/>
        </w:rPr>
        <w:t>- Материјал из ископа одвести на унапред дефинисану локацију за коју је прибављена сагласност надлежног органа а транспорт ископаног материјала вршити возилима која поседују прописане кошеве.</w:t>
      </w:r>
    </w:p>
    <w:p>
      <w:pPr>
        <w:pStyle w:val="Normal"/>
        <w:rPr>
          <w:rFonts w:ascii="Times New Roman" w:hAnsi="Times New Roman"/>
        </w:rPr>
      </w:pPr>
      <w:r>
        <w:rPr>
          <w:rFonts w:eastAsia="CIDFont+F5"/>
          <w:szCs w:val="24"/>
        </w:rPr>
        <w:t>- Предвидети потпуно инфраструктурно опремање Планског подручја по највишим еколошким стандардима који ће гарантовати висок ниво квалитета животне средине.</w:t>
      </w:r>
    </w:p>
    <w:p>
      <w:pPr>
        <w:pStyle w:val="Normal"/>
        <w:rPr>
          <w:rFonts w:ascii="Times New Roman" w:hAnsi="Times New Roman"/>
        </w:rPr>
      </w:pPr>
      <w:r>
        <w:rPr>
          <w:rFonts w:eastAsia="CIDFont+F5"/>
          <w:szCs w:val="24"/>
        </w:rPr>
        <w:t>- Током уређења терена, изградње објеката и њихово</w:t>
      </w:r>
      <w:r>
        <w:rPr>
          <w:rFonts w:eastAsia="CIDFont+F5"/>
          <w:szCs w:val="24"/>
          <w:lang w:val="sr-RS"/>
        </w:rPr>
        <w:t>г</w:t>
      </w:r>
      <w:r>
        <w:rPr>
          <w:rFonts w:eastAsia="CIDFont+F5"/>
          <w:szCs w:val="24"/>
        </w:rPr>
        <w:t xml:space="preserve"> функционисања обавезно је обезбедити спречавање свих облика загађивања и очување квалитета средине према одговарајућим стандардима и прописаним нормама. Током свих фаза реализације плана и рада планираних објеката потребно је пратити показатеље утицаја на стање средине и обезбедити контролу свих активности (обављати мониторинг животне средине и инспекцијски надзор).</w:t>
      </w:r>
    </w:p>
    <w:p>
      <w:pPr>
        <w:pStyle w:val="Normal"/>
        <w:rPr>
          <w:rFonts w:ascii="Times New Roman" w:hAnsi="Times New Roman"/>
        </w:rPr>
      </w:pPr>
      <w:r>
        <w:rPr>
          <w:rFonts w:eastAsia="CIDFont+F5"/>
          <w:szCs w:val="24"/>
        </w:rPr>
        <w:t xml:space="preserve">- Изградњом планиране инфраструктуре обезбедити очување еколошког капацитета простора и побољшања квалитета животне средине уз максимално могуће смањење свих активности које имају негативне ефекте на природни систем (ваздух, земљиште, површинске и подземне воде). </w:t>
      </w:r>
    </w:p>
    <w:p>
      <w:pPr>
        <w:pStyle w:val="Normal"/>
        <w:rPr>
          <w:rFonts w:ascii="Times New Roman" w:hAnsi="Times New Roman"/>
        </w:rPr>
      </w:pPr>
      <w:r>
        <w:rPr>
          <w:rFonts w:eastAsia="CIDFont+F5"/>
          <w:szCs w:val="24"/>
        </w:rPr>
        <w:t xml:space="preserve">- Приликом реализације Плана (израде технчке документације и изградње и функционисања објеката) поштовати и све услове дате за израду овог Плана. </w:t>
      </w:r>
      <w:bookmarkStart w:id="37" w:name="_Hlk107224458"/>
      <w:bookmarkEnd w:id="37"/>
    </w:p>
    <w:p>
      <w:pPr>
        <w:pStyle w:val="Normal"/>
        <w:rPr>
          <w:rFonts w:ascii="Times New Roman" w:hAnsi="Times New Roman" w:eastAsia="CIDFont+F5"/>
          <w:szCs w:val="24"/>
        </w:rPr>
      </w:pPr>
      <w:r>
        <w:rPr>
          <w:rFonts w:eastAsia="CIDFont+F5"/>
          <w:szCs w:val="24"/>
        </w:rPr>
      </w:r>
    </w:p>
    <w:p>
      <w:pPr>
        <w:pStyle w:val="Normal"/>
        <w:ind w:firstLine="360"/>
        <w:rPr>
          <w:rFonts w:ascii="Times New Roman" w:hAnsi="Times New Roman"/>
        </w:rPr>
      </w:pPr>
      <w:r>
        <w:rPr>
          <w:szCs w:val="24"/>
        </w:rPr>
        <w:t xml:space="preserve">Мере заштите животне средине на постројењу за пречишћавање отпадних вода треба да буду усмерене на заштиту реципијента </w:t>
      </w:r>
      <w:r>
        <w:rPr>
          <w:szCs w:val="24"/>
          <w:lang w:val="sr-RS"/>
        </w:rPr>
        <w:t>Велику</w:t>
      </w:r>
      <w:r>
        <w:rPr>
          <w:szCs w:val="24"/>
        </w:rPr>
        <w:t xml:space="preserve"> рек</w:t>
      </w:r>
      <w:r>
        <w:rPr>
          <w:szCs w:val="24"/>
          <w:lang w:val="sr-RS"/>
        </w:rPr>
        <w:t>у</w:t>
      </w:r>
      <w:r>
        <w:rPr>
          <w:szCs w:val="24"/>
        </w:rPr>
        <w:t xml:space="preserve"> у кој</w:t>
      </w:r>
      <w:r>
        <w:rPr>
          <w:szCs w:val="24"/>
          <w:lang w:val="sr-RS"/>
        </w:rPr>
        <w:t>у</w:t>
      </w:r>
      <w:r>
        <w:rPr>
          <w:szCs w:val="24"/>
        </w:rPr>
        <w:t xml:space="preserve"> се испуштају пречишћене отпадне воде, на </w:t>
      </w:r>
      <w:r>
        <w:rPr>
          <w:szCs w:val="24"/>
          <w:lang w:val="sr-RS"/>
        </w:rPr>
        <w:t>у</w:t>
      </w:r>
      <w:r>
        <w:rPr>
          <w:szCs w:val="24"/>
        </w:rPr>
        <w:t>заштиту терена и тла на коме се налази постројење за пречишћавање отпадних вода, као и на заштиту осталих чиниоца животне средине који могу бити угрожени, и у том смислу потребно је:</w:t>
      </w:r>
    </w:p>
    <w:p>
      <w:pPr>
        <w:pStyle w:val="Normal"/>
        <w:suppressAutoHyphens w:val="false"/>
        <w:rPr>
          <w:rFonts w:ascii="Times New Roman" w:hAnsi="Times New Roman"/>
        </w:rPr>
      </w:pPr>
      <w:r>
        <w:rPr>
          <w:szCs w:val="24"/>
          <w:lang w:val="sr-RS"/>
        </w:rPr>
        <w:t>--</w:t>
      </w:r>
      <w:r>
        <w:rPr>
          <w:szCs w:val="24"/>
        </w:rPr>
        <w:t>постројење за пречишћавање отпадних вода (ППОВ) и фекални колектор пројектовати, изградити, користити и одржавати у свему у складу са важећим техничким нормативима и стандардима, прописаним за ту врсту објеката;</w:t>
      </w:r>
    </w:p>
    <w:p>
      <w:pPr>
        <w:pStyle w:val="Normal"/>
        <w:suppressAutoHyphens w:val="false"/>
        <w:rPr>
          <w:rFonts w:ascii="Times New Roman" w:hAnsi="Times New Roman"/>
        </w:rPr>
      </w:pPr>
      <w:r>
        <w:rPr>
          <w:szCs w:val="24"/>
          <w:lang w:val="sr-RS"/>
        </w:rPr>
        <w:t>--</w:t>
      </w:r>
      <w:r>
        <w:rPr>
          <w:szCs w:val="24"/>
        </w:rPr>
        <w:t>при изради пројектне документације, размотрити алтернативне мере и решења која се односе на динамику (фазност) изградње постројења, контролу загађења, начин поступања са муљем и другим отпадним материјама, могућност коришћења пречишћене воде, планове за ванредне прилике (ударне промене оптерећења отпадних вода високих амплитуда, прекид напајања електричном енергијом, кварови на опреми, избацивање из функције делова постројења или потпуни престанак рада и сл.);</w:t>
      </w:r>
    </w:p>
    <w:p>
      <w:pPr>
        <w:pStyle w:val="Normal"/>
        <w:rPr>
          <w:rFonts w:ascii="Times New Roman" w:hAnsi="Times New Roman"/>
          <w:bCs/>
          <w:color w:val="00B0F0"/>
          <w:szCs w:val="24"/>
        </w:rPr>
      </w:pPr>
      <w:r>
        <w:rPr>
          <w:bCs/>
          <w:color w:val="00B0F0"/>
          <w:szCs w:val="24"/>
        </w:rPr>
      </w:r>
    </w:p>
    <w:p>
      <w:pPr>
        <w:pStyle w:val="Normal"/>
        <w:rPr>
          <w:rFonts w:ascii="Times New Roman" w:hAnsi="Times New Roman"/>
        </w:rPr>
      </w:pPr>
      <w:r>
        <w:rPr>
          <w:b/>
          <w:i/>
          <w:szCs w:val="24"/>
          <w:lang w:val="sr-RS"/>
        </w:rPr>
        <w:t>--</w:t>
      </w:r>
      <w:r>
        <w:rPr>
          <w:b/>
          <w:i/>
          <w:szCs w:val="24"/>
        </w:rPr>
        <w:t>Мере заштите ваздуха</w:t>
      </w:r>
      <w:bookmarkStart w:id="38" w:name="_Hlk153358004"/>
      <w:bookmarkEnd w:id="38"/>
    </w:p>
    <w:p>
      <w:pPr>
        <w:pStyle w:val="Normal"/>
        <w:rPr>
          <w:rFonts w:ascii="Times New Roman" w:hAnsi="Times New Roman"/>
        </w:rPr>
      </w:pPr>
      <w:r>
        <w:rPr>
          <w:i/>
          <w:szCs w:val="24"/>
        </w:rPr>
        <w:t>Заштита ваздуха</w:t>
      </w:r>
      <w:r>
        <w:rPr>
          <w:szCs w:val="24"/>
        </w:rPr>
        <w:t xml:space="preserve"> остварује се предузимањем мера систематског праћења квалитета ваздуха, смањењем загађивања ваздуха загађујућим материјама испод прописаних граничних вредности нивоа загађујућих материја, предузимањем потребних мера за смањење емисије, као и праћењем утицаја загађеног ваздуха на здравље људи, природна добра и животну средину. </w:t>
      </w:r>
    </w:p>
    <w:p>
      <w:pPr>
        <w:pStyle w:val="Normal"/>
        <w:tabs>
          <w:tab w:val="clear" w:pos="720"/>
          <w:tab w:val="left" w:pos="709" w:leader="none"/>
        </w:tabs>
        <w:rPr>
          <w:rFonts w:ascii="Times New Roman" w:hAnsi="Times New Roman"/>
        </w:rPr>
      </w:pPr>
      <w:r>
        <w:rPr>
          <w:szCs w:val="24"/>
        </w:rPr>
        <w:tab/>
        <w:t>Заштиту ваздуха обезбедити:</w:t>
      </w:r>
    </w:p>
    <w:p>
      <w:pPr>
        <w:pStyle w:val="Normal"/>
        <w:numPr>
          <w:ilvl w:val="0"/>
          <w:numId w:val="19"/>
        </w:numPr>
        <w:suppressAutoHyphens w:val="false"/>
        <w:ind w:left="0" w:hanging="0"/>
        <w:rPr>
          <w:rFonts w:ascii="Times New Roman" w:hAnsi="Times New Roman"/>
        </w:rPr>
      </w:pPr>
      <w:r>
        <w:rPr>
          <w:szCs w:val="24"/>
        </w:rPr>
        <w:t xml:space="preserve">изградњом објеката за третман муља (укључујући и муљ из септичких јама) као затворених објеката, са вентилацијом и биофилтерима високе ефикасности којима се обезбеђује смањење неугодних мириса и уклањање био-аеросола, а тиме и смањење интензитета мириса и његовог утицаја на стамбене и друге објекте у окружењу, у складу са чланом 55. Закона о заштити ваздуха („Службени гласник РС“, број 36/09, 10/13 </w:t>
      </w:r>
      <w:r>
        <w:rPr>
          <w:szCs w:val="24"/>
          <w:lang w:val="sr-RS"/>
        </w:rPr>
        <w:t>и 26/2021 – др. закон</w:t>
      </w:r>
      <w:r>
        <w:rPr>
          <w:szCs w:val="24"/>
        </w:rPr>
        <w:t>),</w:t>
      </w:r>
    </w:p>
    <w:p>
      <w:pPr>
        <w:pStyle w:val="Normal"/>
        <w:numPr>
          <w:ilvl w:val="0"/>
          <w:numId w:val="19"/>
        </w:numPr>
        <w:suppressAutoHyphens w:val="false"/>
        <w:ind w:left="0" w:hanging="0"/>
        <w:rPr>
          <w:rFonts w:ascii="Times New Roman" w:hAnsi="Times New Roman"/>
        </w:rPr>
      </w:pPr>
      <w:r>
        <w:rPr>
          <w:szCs w:val="24"/>
        </w:rPr>
        <w:t xml:space="preserve">уградњом филтера за задржавање честичног загађења на системима за третман отпадних вода, којим се обезбеђује да  концентрације загађујућих материја у отпадним гасовима, које могу бити испуштене у ваздух, задовољавају критеријуме прописане Уредбом о граничним вредностима емисија загађујућих материја у ваздух из стационарних извора загађивања, осим постројења за сагоревање („Службени гласник РС“, број 111/15 </w:t>
      </w:r>
      <w:r>
        <w:rPr>
          <w:szCs w:val="24"/>
          <w:lang w:val="sr-RS"/>
        </w:rPr>
        <w:t>и 83/2021</w:t>
      </w:r>
      <w:r>
        <w:rPr>
          <w:szCs w:val="24"/>
        </w:rPr>
        <w:t xml:space="preserve">), </w:t>
      </w:r>
    </w:p>
    <w:p>
      <w:pPr>
        <w:pStyle w:val="Normal"/>
        <w:numPr>
          <w:ilvl w:val="0"/>
          <w:numId w:val="19"/>
        </w:numPr>
        <w:tabs>
          <w:tab w:val="clear" w:pos="720"/>
          <w:tab w:val="left" w:pos="0" w:leader="none"/>
        </w:tabs>
        <w:suppressAutoHyphens w:val="false"/>
        <w:ind w:left="0" w:hanging="0"/>
        <w:rPr/>
      </w:pPr>
      <w:r>
        <w:rPr>
          <w:szCs w:val="24"/>
        </w:rPr>
        <w:t xml:space="preserve">гасови који настају у самом систему приликом процеса прераде воде, не смеју се слободно испуштати у атмосферу, већсе морају третирати како би њихове карактеристике и квалитет били у складу са важећом </w:t>
      </w:r>
      <w:hyperlink r:id="rId2">
        <w:r>
          <w:rPr>
            <w:szCs w:val="24"/>
          </w:rPr>
          <w:t>Уредбом о граничним</w:t>
        </w:r>
      </w:hyperlink>
      <w:r>
        <w:rPr>
          <w:szCs w:val="24"/>
        </w:rPr>
        <w:t xml:space="preserve"> </w:t>
      </w:r>
      <w:hyperlink r:id="rId3">
        <w:r>
          <w:rPr>
            <w:szCs w:val="24"/>
          </w:rPr>
          <w:t>вредностима емисија загађујућих материја у ваздух</w:t>
        </w:r>
      </w:hyperlink>
      <w:r>
        <w:rPr>
          <w:szCs w:val="24"/>
        </w:rPr>
        <w:t xml:space="preserve"> („Службени гласник РС”, број 6/2016</w:t>
      </w:r>
      <w:r>
        <w:rPr>
          <w:szCs w:val="24"/>
          <w:lang w:val="sr-RS"/>
        </w:rPr>
        <w:t xml:space="preserve"> и 67/2021</w:t>
      </w:r>
      <w:r>
        <w:rPr>
          <w:rFonts w:eastAsia="" w:cs="Times New Roman" w:eastAsiaTheme="minorEastAsia"/>
          <w:color w:val="auto"/>
          <w:spacing w:val="40"/>
          <w:kern w:val="0"/>
          <w:sz w:val="24"/>
          <w:szCs w:val="24"/>
          <w:lang w:val="sr-RS" w:eastAsia="en-US" w:bidi="ar-SA"/>
        </w:rPr>
        <w:t>)</w:t>
      </w:r>
      <w:r>
        <w:rPr>
          <w:szCs w:val="24"/>
        </w:rPr>
        <w:t xml:space="preserve">; </w:t>
      </w:r>
    </w:p>
    <w:p>
      <w:pPr>
        <w:pStyle w:val="Normal"/>
        <w:numPr>
          <w:ilvl w:val="0"/>
          <w:numId w:val="19"/>
        </w:numPr>
        <w:tabs>
          <w:tab w:val="clear" w:pos="720"/>
          <w:tab w:val="left" w:pos="0" w:leader="none"/>
        </w:tabs>
        <w:suppressAutoHyphens w:val="false"/>
        <w:ind w:left="0" w:hanging="0"/>
        <w:rPr>
          <w:rFonts w:ascii="Times New Roman" w:hAnsi="Times New Roman"/>
        </w:rPr>
      </w:pPr>
      <w:r>
        <w:rPr>
          <w:szCs w:val="24"/>
        </w:rPr>
        <w:t>прикупљањем и складиштењем биогаса који настаје у поступку анаеробне обраде муља и њиховим одвођењем до потрошача (гасни мотори или котловска јединица);</w:t>
      </w:r>
    </w:p>
    <w:p>
      <w:pPr>
        <w:pStyle w:val="Normal"/>
        <w:numPr>
          <w:ilvl w:val="0"/>
          <w:numId w:val="19"/>
        </w:numPr>
        <w:tabs>
          <w:tab w:val="clear" w:pos="720"/>
          <w:tab w:val="left" w:pos="0" w:leader="none"/>
        </w:tabs>
        <w:suppressAutoHyphens w:val="false"/>
        <w:ind w:left="0" w:hanging="0"/>
        <w:rPr>
          <w:rFonts w:ascii="Times New Roman" w:hAnsi="Times New Roman"/>
        </w:rPr>
      </w:pPr>
      <w:r>
        <w:rPr>
          <w:szCs w:val="24"/>
        </w:rPr>
        <w:t xml:space="preserve">пројектом предвидети контролисана процесна решења санације и уклањања непријатних мириса из постројења за пречишћавање отпадних вода, у складу са одредбама Закона о заштити ваздуха ("Службени гласник РС", бр. 36/09, </w:t>
      </w:r>
      <w:r>
        <w:rPr>
          <w:szCs w:val="24"/>
          <w:lang w:val="sr-RS"/>
        </w:rPr>
        <w:t>10/2013 и 26/2021 – др. закон</w:t>
      </w:r>
      <w:r>
        <w:rPr>
          <w:szCs w:val="24"/>
        </w:rPr>
        <w:t>);</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position w:val="1"/>
          <w:szCs w:val="24"/>
          <w:lang w:val="en-GB"/>
        </w:rPr>
        <w:t xml:space="preserve">формирањем појаса зеленила </w:t>
      </w:r>
      <w:r>
        <w:rPr>
          <w:position w:val="1"/>
          <w:szCs w:val="24"/>
        </w:rPr>
        <w:t>унутар</w:t>
      </w:r>
      <w:r>
        <w:rPr>
          <w:position w:val="1"/>
          <w:szCs w:val="24"/>
          <w:lang w:val="en-GB"/>
        </w:rPr>
        <w:t xml:space="preserve"> комплекса које ће </w:t>
      </w:r>
      <w:r>
        <w:rPr>
          <w:szCs w:val="24"/>
          <w:lang w:val="en-GB"/>
        </w:rPr>
        <w:t>служити као заштита околних садржаја од негативних утицаја; формира се од компактних засада лишћара и четинара, али се предност даје листопадном дрвећу пошто је ефектније.</w:t>
      </w:r>
      <w:r>
        <w:rPr>
          <w:szCs w:val="24"/>
        </w:rPr>
        <w:t xml:space="preserve"> </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szCs w:val="24"/>
        </w:rPr>
        <w:t>изградњом нових саобраћајница која мора бити заснована на еколошким принципима према важећим стандардима</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szCs w:val="24"/>
        </w:rPr>
        <w:t xml:space="preserve">санацијом и рекултивацијом свих простора који су се користиле за депоновање материјала у току изградње;  </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position w:val="1"/>
          <w:szCs w:val="24"/>
          <w:lang w:val="en-GB"/>
        </w:rPr>
        <w:t xml:space="preserve">успостављањем редовне контроле мерења, тј. мониторинга </w:t>
      </w:r>
      <w:r>
        <w:rPr>
          <w:szCs w:val="24"/>
          <w:lang w:val="en-GB"/>
        </w:rPr>
        <w:t xml:space="preserve">основних загађујућих материја, </w:t>
      </w:r>
      <w:r>
        <w:rPr>
          <w:szCs w:val="24"/>
        </w:rPr>
        <w:t>у складу са Европском директивом о процени и управљању квалитетом амбијентног ваздуха (96/62/ЕС) и обезбеђењем доступности резултата мерења и информисањем јавноси у складу са Законом</w:t>
      </w:r>
      <w:r>
        <w:rPr>
          <w:szCs w:val="24"/>
          <w:lang w:val="en-GB"/>
        </w:rPr>
        <w:t>;</w:t>
      </w:r>
      <w:r>
        <w:rPr>
          <w:szCs w:val="24"/>
        </w:rPr>
        <w:t xml:space="preserve"> </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szCs w:val="24"/>
        </w:rPr>
        <w:t>с</w:t>
      </w:r>
      <w:r>
        <w:rPr>
          <w:szCs w:val="24"/>
          <w:lang w:val="en-GB"/>
        </w:rPr>
        <w:t>прово</w:t>
      </w:r>
      <w:r>
        <w:rPr>
          <w:szCs w:val="24"/>
          <w:lang w:val="sr-RS"/>
        </w:rPr>
        <w:t>ђ</w:t>
      </w:r>
      <w:r>
        <w:rPr>
          <w:szCs w:val="24"/>
        </w:rPr>
        <w:t>ењем</w:t>
      </w:r>
      <w:r>
        <w:rPr>
          <w:szCs w:val="24"/>
          <w:lang w:val="en-GB"/>
        </w:rPr>
        <w:t xml:space="preserve"> мер</w:t>
      </w:r>
      <w:r>
        <w:rPr>
          <w:szCs w:val="24"/>
          <w:lang w:val="sr-RS"/>
        </w:rPr>
        <w:t>а</w:t>
      </w:r>
      <w:r>
        <w:rPr>
          <w:szCs w:val="24"/>
          <w:lang w:val="en-GB"/>
        </w:rPr>
        <w:t xml:space="preserve"> заштите ваздуха кроз ажурнији инспекцијски надзор надлежних служби;</w:t>
      </w:r>
      <w:r>
        <w:rPr>
          <w:szCs w:val="24"/>
        </w:rPr>
        <w:t xml:space="preserve"> </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szCs w:val="24"/>
        </w:rPr>
        <w:t>успостављањем с</w:t>
      </w:r>
      <w:r>
        <w:rPr>
          <w:szCs w:val="24"/>
          <w:lang w:val="en-GB"/>
        </w:rPr>
        <w:t>истематск</w:t>
      </w:r>
      <w:r>
        <w:rPr>
          <w:szCs w:val="24"/>
        </w:rPr>
        <w:t>их</w:t>
      </w:r>
      <w:r>
        <w:rPr>
          <w:szCs w:val="24"/>
          <w:lang w:val="en-GB"/>
        </w:rPr>
        <w:t xml:space="preserve"> </w:t>
      </w:r>
      <w:r>
        <w:rPr>
          <w:szCs w:val="24"/>
        </w:rPr>
        <w:t>праћења</w:t>
      </w:r>
      <w:r>
        <w:rPr>
          <w:szCs w:val="24"/>
          <w:lang w:val="en-GB"/>
        </w:rPr>
        <w:t xml:space="preserve"> степена загађености ваздуха на територији </w:t>
      </w:r>
      <w:r>
        <w:rPr>
          <w:szCs w:val="24"/>
        </w:rPr>
        <w:t>општине</w:t>
      </w:r>
      <w:r>
        <w:rPr>
          <w:szCs w:val="24"/>
          <w:lang w:val="en-GB"/>
        </w:rPr>
        <w:t xml:space="preserve"> и мерењима имисије специфичних загађујуих материја.</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position w:val="1"/>
          <w:szCs w:val="24"/>
          <w:lang w:val="en-GB"/>
        </w:rPr>
        <w:t xml:space="preserve">приликом грађевинских радова на изградњи </w:t>
      </w:r>
      <w:r>
        <w:rPr>
          <w:szCs w:val="24"/>
          <w:lang w:val="en-GB"/>
        </w:rPr>
        <w:t>објеката током летњих месеци посебну пажњу усмерити ка смањењу запрашености честицама грађевинског отпада местимичним заливањем површина на којима је депонован грађевински шут и остали отпад;</w:t>
      </w:r>
    </w:p>
    <w:p>
      <w:pPr>
        <w:pStyle w:val="Normal"/>
        <w:widowControl w:val="false"/>
        <w:numPr>
          <w:ilvl w:val="0"/>
          <w:numId w:val="19"/>
        </w:numPr>
        <w:tabs>
          <w:tab w:val="clear" w:pos="720"/>
          <w:tab w:val="left" w:pos="0" w:leader="none"/>
          <w:tab w:val="left" w:pos="1062" w:leader="none"/>
        </w:tabs>
        <w:suppressAutoHyphens w:val="false"/>
        <w:ind w:left="0" w:hanging="0"/>
        <w:rPr>
          <w:rFonts w:ascii="Times New Roman" w:hAnsi="Times New Roman"/>
        </w:rPr>
      </w:pPr>
      <w:r>
        <w:rPr>
          <w:szCs w:val="24"/>
        </w:rPr>
        <w:t xml:space="preserve">унапређењем квалитета ваздуха </w:t>
      </w:r>
      <w:r>
        <w:rPr>
          <w:szCs w:val="24"/>
          <w:lang w:val="sl-SI"/>
        </w:rPr>
        <w:t>даљи</w:t>
      </w:r>
      <w:r>
        <w:rPr>
          <w:szCs w:val="24"/>
          <w:lang w:val="sr-Latn-CS"/>
        </w:rPr>
        <w:t>м</w:t>
      </w:r>
      <w:r>
        <w:rPr>
          <w:szCs w:val="24"/>
          <w:lang w:val="sl-SI"/>
        </w:rPr>
        <w:t xml:space="preserve"> развој</w:t>
      </w:r>
      <w:r>
        <w:rPr>
          <w:szCs w:val="24"/>
          <w:lang w:val="sr-Latn-CS"/>
        </w:rPr>
        <w:t>ем</w:t>
      </w:r>
      <w:r>
        <w:rPr>
          <w:szCs w:val="24"/>
          <w:lang w:val="sl-SI"/>
        </w:rPr>
        <w:t xml:space="preserve"> засн</w:t>
      </w:r>
      <w:r>
        <w:rPr>
          <w:szCs w:val="24"/>
          <w:lang w:val="sr-Latn-CS"/>
        </w:rPr>
        <w:t>о</w:t>
      </w:r>
      <w:r>
        <w:rPr>
          <w:szCs w:val="24"/>
          <w:lang w:val="sl-SI"/>
        </w:rPr>
        <w:t>ва</w:t>
      </w:r>
      <w:r>
        <w:rPr>
          <w:szCs w:val="24"/>
        </w:rPr>
        <w:t>ним</w:t>
      </w:r>
      <w:r>
        <w:rPr>
          <w:szCs w:val="24"/>
          <w:lang w:val="sr-Latn-CS"/>
        </w:rPr>
        <w:t xml:space="preserve"> </w:t>
      </w:r>
      <w:r>
        <w:rPr>
          <w:szCs w:val="24"/>
          <w:lang w:val="sl-SI"/>
        </w:rPr>
        <w:t>на рационалнијој употреби енергије</w:t>
      </w:r>
      <w:r>
        <w:rPr>
          <w:szCs w:val="24"/>
        </w:rPr>
        <w:t xml:space="preserve"> и</w:t>
      </w:r>
      <w:r>
        <w:rPr>
          <w:szCs w:val="24"/>
          <w:lang w:val="sl-SI"/>
        </w:rPr>
        <w:t xml:space="preserve"> повећању енергетске ефикасности</w:t>
      </w:r>
      <w:r>
        <w:rPr>
          <w:szCs w:val="24"/>
        </w:rPr>
        <w:t>,</w:t>
      </w:r>
      <w:r>
        <w:rPr>
          <w:szCs w:val="24"/>
          <w:lang w:val="sl-SI"/>
        </w:rPr>
        <w:t xml:space="preserve"> увођењу економски оправданих нових и обновљивих извора енергије</w:t>
      </w:r>
      <w:r>
        <w:rPr>
          <w:szCs w:val="24"/>
        </w:rPr>
        <w:t xml:space="preserve"> (на пример коришћењем биогаса и соларне енергије) </w:t>
      </w:r>
      <w:r>
        <w:rPr>
          <w:szCs w:val="24"/>
          <w:lang w:val="sl-SI"/>
        </w:rPr>
        <w:t>и др</w:t>
      </w:r>
      <w:r>
        <w:rPr>
          <w:szCs w:val="24"/>
        </w:rPr>
        <w:t xml:space="preserve">.; </w:t>
      </w:r>
    </w:p>
    <w:p>
      <w:pPr>
        <w:pStyle w:val="Normal"/>
        <w:tabs>
          <w:tab w:val="clear" w:pos="720"/>
          <w:tab w:val="left" w:pos="0" w:leader="none"/>
        </w:tabs>
        <w:suppressAutoHyphens w:val="false"/>
        <w:textAlignment w:val="center"/>
        <w:rPr>
          <w:rFonts w:ascii="Times New Roman" w:hAnsi="Times New Roman" w:eastAsia="Times New Roman"/>
          <w:szCs w:val="24"/>
        </w:rPr>
      </w:pPr>
      <w:r>
        <w:rPr>
          <w:rFonts w:eastAsia="Times New Roman"/>
          <w:szCs w:val="24"/>
        </w:rPr>
      </w:r>
    </w:p>
    <w:p>
      <w:pPr>
        <w:pStyle w:val="Normal"/>
        <w:tabs>
          <w:tab w:val="clear" w:pos="720"/>
          <w:tab w:val="left" w:pos="1080" w:leader="none"/>
        </w:tabs>
        <w:suppressAutoHyphens w:val="false"/>
        <w:textAlignment w:val="center"/>
        <w:rPr>
          <w:rFonts w:ascii="Times New Roman" w:hAnsi="Times New Roman"/>
        </w:rPr>
      </w:pPr>
      <w:r>
        <w:rPr>
          <w:rFonts w:eastAsia="Times New Roman"/>
          <w:b/>
          <w:i/>
          <w:szCs w:val="24"/>
          <w:lang w:val="sr-RS"/>
        </w:rPr>
        <w:t>--</w:t>
      </w:r>
      <w:r>
        <w:rPr>
          <w:rFonts w:eastAsia="Times New Roman"/>
          <w:b/>
          <w:i/>
          <w:szCs w:val="24"/>
        </w:rPr>
        <w:t xml:space="preserve">Мере за заштиту вода и земљишта </w:t>
      </w:r>
    </w:p>
    <w:p>
      <w:pPr>
        <w:pStyle w:val="Normal"/>
        <w:tabs>
          <w:tab w:val="clear" w:pos="720"/>
          <w:tab w:val="left" w:pos="1080" w:leader="none"/>
        </w:tabs>
        <w:suppressAutoHyphens w:val="false"/>
        <w:textAlignment w:val="center"/>
        <w:rPr>
          <w:rFonts w:ascii="Times New Roman" w:hAnsi="Times New Roman" w:eastAsia="Times New Roman"/>
          <w:b/>
          <w:b/>
          <w:i/>
          <w:i/>
          <w:szCs w:val="24"/>
        </w:rPr>
      </w:pPr>
      <w:r>
        <w:rPr>
          <w:rFonts w:eastAsia="Times New Roman"/>
          <w:b/>
          <w:i/>
          <w:szCs w:val="24"/>
        </w:rPr>
      </w:r>
    </w:p>
    <w:p>
      <w:pPr>
        <w:pStyle w:val="Normal"/>
        <w:tabs>
          <w:tab w:val="clear" w:pos="720"/>
          <w:tab w:val="left" w:pos="1080" w:leader="none"/>
        </w:tabs>
        <w:suppressAutoHyphens w:val="false"/>
        <w:textAlignment w:val="center"/>
        <w:rPr>
          <w:rFonts w:ascii="Times New Roman" w:hAnsi="Times New Roman"/>
        </w:rPr>
      </w:pPr>
      <w:r>
        <w:rPr>
          <w:b/>
          <w:bCs/>
          <w:iCs/>
          <w:szCs w:val="24"/>
          <w:u w:val="single"/>
        </w:rPr>
        <w:t xml:space="preserve">Заштита </w:t>
      </w:r>
      <w:r>
        <w:rPr>
          <w:b/>
          <w:bCs/>
          <w:iCs/>
          <w:szCs w:val="24"/>
          <w:u w:val="single"/>
          <w:lang w:val="sr-RS"/>
        </w:rPr>
        <w:t>вода</w:t>
      </w:r>
      <w:r>
        <w:rPr>
          <w:iCs/>
          <w:szCs w:val="24"/>
          <w:u w:val="single"/>
          <w:lang w:val="sr-RS"/>
        </w:rPr>
        <w:t xml:space="preserve"> – општи услови планирања и градње</w:t>
      </w:r>
    </w:p>
    <w:p>
      <w:pPr>
        <w:pStyle w:val="Normal"/>
        <w:rPr>
          <w:rFonts w:ascii="Times New Roman" w:hAnsi="Times New Roman"/>
        </w:rPr>
      </w:pPr>
      <w:r>
        <w:rPr>
          <w:i/>
          <w:szCs w:val="24"/>
        </w:rPr>
        <w:t xml:space="preserve">Заштита вода </w:t>
      </w:r>
      <w:r>
        <w:rPr>
          <w:szCs w:val="24"/>
        </w:rPr>
        <w:t xml:space="preserve">и њихово коришћење остварује се у оквиру интегралног управљања водама спровођењем мера за очување површинских и подземних вода и њихових резерви, квалитета и количина. Воде се могу користити, </w:t>
      </w:r>
      <w:r>
        <w:rPr>
          <w:szCs w:val="24"/>
          <w:u w:val="single"/>
        </w:rPr>
        <w:t>а отпадне воде испуштати</w:t>
      </w:r>
      <w:r>
        <w:rPr>
          <w:spacing w:val="40"/>
          <w:szCs w:val="24"/>
        </w:rPr>
        <w:t xml:space="preserve"> </w:t>
      </w:r>
      <w:r>
        <w:rPr>
          <w:szCs w:val="24"/>
        </w:rPr>
        <w:t xml:space="preserve">уз примену одговарајућег третмана, на начин и до нивоа који не представља опасност од загађивања. Мере заштите вода обезбеђују спречавање или ограничавање уношења у воде опасних, отпадних и других штетних материја, праћење и испитивање квалитета површинских и подземних вода, као и квалитета отпадних вода и њихово пречишћавање. </w:t>
      </w:r>
    </w:p>
    <w:p>
      <w:pPr>
        <w:pStyle w:val="Normal"/>
        <w:tabs>
          <w:tab w:val="clear" w:pos="720"/>
          <w:tab w:val="left" w:pos="709" w:leader="none"/>
        </w:tabs>
        <w:rPr>
          <w:rFonts w:ascii="Times New Roman" w:hAnsi="Times New Roman"/>
        </w:rPr>
      </w:pPr>
      <w:r>
        <w:rPr>
          <w:szCs w:val="24"/>
        </w:rPr>
        <w:tab/>
        <w:t>Заштиту вода и земљишта обезбедити применом следећих мера:</w:t>
      </w:r>
    </w:p>
    <w:p>
      <w:pPr>
        <w:pStyle w:val="Normal"/>
        <w:numPr>
          <w:ilvl w:val="0"/>
          <w:numId w:val="17"/>
        </w:numPr>
        <w:suppressAutoHyphens w:val="false"/>
        <w:ind w:left="0" w:hanging="0"/>
        <w:rPr>
          <w:rFonts w:ascii="Times New Roman" w:hAnsi="Times New Roman"/>
        </w:rPr>
      </w:pPr>
      <w:r>
        <w:rPr>
          <w:szCs w:val="24"/>
        </w:rPr>
        <w:t>одговарајућим техничко-технолошким решењем планираног ППОВ обезбедити сигурно и ефикасно пречишћавање отпадних вода и функционисање постројења, односно достизање и одржавање пројектованог квалитета ефлуента који задовољава критеријуме прописане за испуштање у реципијент, а према Уредби о граничним вредностима емисије загађујућих материја у воде и роковима за њихово достизање („Сл. гласник РС“, бр. 67/11, 48/12 и 1/16) за испуштање у површинске воде, a нарочито:</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HPK &lt; 125 mg/l,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BPK5 &lt;25 mg/l,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Укупне суспендоване материје &lt; 35 mg/l,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Укупан P &lt; 1 mg/l,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Укупан N &lt; 10 mg/l (01. V-15.XI), тј. &lt; 20 mg/l (16. XI-30.IV)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Колиформне бактерије &lt; 10000 у 100 ml,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 xml:space="preserve">Колиформне бактерије фекалног порекла &lt; 2000 у 100 ml и </w:t>
      </w:r>
    </w:p>
    <w:p>
      <w:pPr>
        <w:pStyle w:val="Normal"/>
        <w:numPr>
          <w:ilvl w:val="0"/>
          <w:numId w:val="18"/>
        </w:numPr>
        <w:tabs>
          <w:tab w:val="left" w:pos="720" w:leader="none"/>
        </w:tabs>
        <w:suppressAutoHyphens w:val="false"/>
        <w:spacing w:before="0" w:after="0"/>
        <w:ind w:left="0" w:hanging="0"/>
        <w:contextualSpacing/>
        <w:rPr>
          <w:rFonts w:ascii="Times New Roman" w:hAnsi="Times New Roman"/>
        </w:rPr>
      </w:pPr>
      <w:r>
        <w:rPr>
          <w:szCs w:val="24"/>
          <w:lang w:val="en-GB"/>
        </w:rPr>
        <w:t>Стрептококе фекалног порекла &lt; 400 у 100 ml:</w:t>
      </w:r>
    </w:p>
    <w:p>
      <w:pPr>
        <w:pStyle w:val="Normal"/>
        <w:numPr>
          <w:ilvl w:val="0"/>
          <w:numId w:val="17"/>
        </w:numPr>
        <w:suppressAutoHyphens w:val="false"/>
        <w:ind w:left="0" w:hanging="0"/>
        <w:rPr>
          <w:rFonts w:ascii="Times New Roman" w:hAnsi="Times New Roman"/>
        </w:rPr>
      </w:pPr>
      <w:r>
        <w:rPr>
          <w:szCs w:val="24"/>
        </w:rPr>
        <w:t>избор материјала за изградњу колектора извршити у складу са обавезом да се спречи свака могућност неконтролисаног изливања отпадних вода у околни простор, што подразумева адекватну отпорност цевовода и прикључака на све механичке и хемијске утицаје, укључујући и компоненту обезбеђења одговарајуће дилатације (флексибилности), а због могуће геотехничке повредљивости геолошке средине у подлози цевовода (слегање, течење, клижење, бубрење материјала и др); предвидети одговарајућа техничка решења за таложење и редовну евакуацију наталоженог наноса у деловима канализационог система; обезбедити одговарајући капацитет пријема колектора како не би дошло до испуштања евентуалних вишкова отпадних вода;</w:t>
      </w:r>
    </w:p>
    <w:p>
      <w:pPr>
        <w:pStyle w:val="Normal"/>
        <w:numPr>
          <w:ilvl w:val="0"/>
          <w:numId w:val="17"/>
        </w:numPr>
        <w:tabs>
          <w:tab w:val="clear" w:pos="720"/>
          <w:tab w:val="left" w:pos="630" w:leader="none"/>
        </w:tabs>
        <w:suppressAutoHyphens w:val="false"/>
        <w:ind w:left="0" w:hanging="0"/>
        <w:rPr>
          <w:rFonts w:ascii="Times New Roman" w:hAnsi="Times New Roman"/>
        </w:rPr>
      </w:pPr>
      <w:r>
        <w:rPr>
          <w:szCs w:val="24"/>
        </w:rPr>
        <w:t xml:space="preserve">садржај непожељних материја у ефлуенту, након пречишћавања треба да буде у границама максималних количина опасних материја које се не смеју прекорачити, а дефинисане су Уредбом о граничним вредностима емисије загађујућих материја у воде и роковима за њихово достизање ("Сл. гласник РС", бр.67/11, 48/12 </w:t>
      </w:r>
      <w:r>
        <w:rPr>
          <w:szCs w:val="24"/>
          <w:lang w:val="sr-RS"/>
        </w:rPr>
        <w:t>и 1/2016</w:t>
      </w:r>
      <w:r>
        <w:rPr>
          <w:szCs w:val="24"/>
        </w:rPr>
        <w:t>), Уредбом о граничним вредностима приоритетних и приоритетних хазардних супастанци које загађују површинске воде и роковима за њихово достизање ("Сл. гласник РС", бр.</w:t>
      </w:r>
      <w:r>
        <w:rPr>
          <w:rFonts w:eastAsia="" w:cs="Times New Roman" w:eastAsiaTheme="minorEastAsia"/>
          <w:color w:val="auto"/>
          <w:kern w:val="0"/>
          <w:sz w:val="24"/>
          <w:szCs w:val="24"/>
          <w:lang w:val="sr-RS" w:eastAsia="en-US" w:bidi="ar-SA"/>
        </w:rPr>
        <w:t>24/2014</w:t>
      </w:r>
      <w:r>
        <w:rPr>
          <w:szCs w:val="24"/>
        </w:rPr>
        <w:t>), којом је дефинисано да ће се до истека преиспитаног рока примењивати максималне количине опасних материја у водама прописане Правилником о опасним материјама у водама ("Сл. гласник РС", бр.31/82), као и Уредбом о граничним вредностима загађујућих материја у површинским и подземним водама и роковима за њихово достизање ("Сл. гласник РС", бр. 50/</w:t>
      </w:r>
      <w:r>
        <w:rPr>
          <w:szCs w:val="24"/>
          <w:lang w:val="sr-RS"/>
        </w:rPr>
        <w:t>20</w:t>
      </w:r>
      <w:r>
        <w:rPr>
          <w:szCs w:val="24"/>
        </w:rPr>
        <w:t xml:space="preserve">12); </w:t>
      </w:r>
    </w:p>
    <w:p>
      <w:pPr>
        <w:pStyle w:val="Normal"/>
        <w:numPr>
          <w:ilvl w:val="0"/>
          <w:numId w:val="17"/>
        </w:numPr>
        <w:tabs>
          <w:tab w:val="clear" w:pos="720"/>
          <w:tab w:val="left" w:pos="630" w:leader="none"/>
        </w:tabs>
        <w:suppressAutoHyphens w:val="false"/>
        <w:ind w:left="0" w:hanging="0"/>
        <w:rPr>
          <w:rFonts w:ascii="Times New Roman" w:hAnsi="Times New Roman"/>
        </w:rPr>
      </w:pPr>
      <w:r>
        <w:rPr>
          <w:szCs w:val="24"/>
        </w:rPr>
        <w:t>обезбеђењем одговарајућег простора и услова за складиштење и припрему хемикалија које се користе у третману отпадних вода;</w:t>
      </w:r>
    </w:p>
    <w:p>
      <w:pPr>
        <w:pStyle w:val="Normal"/>
        <w:numPr>
          <w:ilvl w:val="0"/>
          <w:numId w:val="17"/>
        </w:numPr>
        <w:tabs>
          <w:tab w:val="clear" w:pos="720"/>
          <w:tab w:val="left" w:pos="630" w:leader="none"/>
        </w:tabs>
        <w:suppressAutoHyphens w:val="false"/>
        <w:ind w:left="0" w:hanging="0"/>
        <w:rPr>
          <w:rFonts w:ascii="Times New Roman" w:hAnsi="Times New Roman"/>
        </w:rPr>
      </w:pPr>
      <w:r>
        <w:rPr>
          <w:szCs w:val="24"/>
        </w:rPr>
        <w:t>у случају да техничко-технолошко решење пречишћавање/третмана вода предвиђа коришћење специфичних хемијских и биолошких средстава, обезбедити простор и одговарајуће услове за складиштење и припрему супстанци, у складу са важећим прописима којима се уређује поступање са овом врстом материја;</w:t>
      </w:r>
    </w:p>
    <w:p>
      <w:pPr>
        <w:pStyle w:val="Normal"/>
        <w:numPr>
          <w:ilvl w:val="0"/>
          <w:numId w:val="17"/>
        </w:numPr>
        <w:tabs>
          <w:tab w:val="clear" w:pos="720"/>
          <w:tab w:val="left" w:pos="630" w:leader="none"/>
        </w:tabs>
        <w:suppressAutoHyphens w:val="false"/>
        <w:ind w:left="0" w:hanging="0"/>
        <w:rPr>
          <w:rFonts w:ascii="Times New Roman" w:hAnsi="Times New Roman"/>
        </w:rPr>
      </w:pPr>
      <w:r>
        <w:rPr>
          <w:szCs w:val="24"/>
        </w:rPr>
        <w:t>уградњом одговарајућих прикључака и арматуре за узорковање непречишћене / пречишћене отпадне воде, односно обављање континуалног и дисконтинуалног праћења квалитета воде на улазу / излазу из постројења за пречишћавање,</w:t>
      </w:r>
    </w:p>
    <w:p>
      <w:pPr>
        <w:pStyle w:val="Normal"/>
        <w:widowControl w:val="false"/>
        <w:numPr>
          <w:ilvl w:val="0"/>
          <w:numId w:val="16"/>
        </w:numPr>
        <w:tabs>
          <w:tab w:val="clear" w:pos="720"/>
          <w:tab w:val="left" w:pos="630" w:leader="none"/>
          <w:tab w:val="left" w:pos="709" w:leader="none"/>
        </w:tabs>
        <w:suppressAutoHyphens w:val="false"/>
        <w:ind w:left="0" w:hanging="0"/>
        <w:rPr>
          <w:rFonts w:ascii="Times New Roman" w:hAnsi="Times New Roman"/>
        </w:rPr>
      </w:pPr>
      <w:r>
        <w:rPr>
          <w:szCs w:val="24"/>
          <w:lang w:val="en-GB"/>
        </w:rPr>
        <w:t>изградњом манипулативних површина и сервисних</w:t>
      </w:r>
      <w:r>
        <w:rPr>
          <w:szCs w:val="24"/>
        </w:rPr>
        <w:t xml:space="preserve"> </w:t>
      </w:r>
      <w:r>
        <w:rPr>
          <w:szCs w:val="24"/>
          <w:lang w:val="en-GB"/>
        </w:rPr>
        <w:t>/</w:t>
      </w:r>
      <w:r>
        <w:rPr>
          <w:szCs w:val="24"/>
        </w:rPr>
        <w:t xml:space="preserve"> </w:t>
      </w:r>
      <w:r>
        <w:rPr>
          <w:szCs w:val="24"/>
          <w:lang w:val="en-GB"/>
        </w:rPr>
        <w:t>приступних саобраћајница од водонепропусних материјала отпорних на нафту и нафтне деривате и са ивичњацима којима се спречава одливање воде на околно земљиште приликом њиховог одржавања или падавина</w:t>
      </w:r>
      <w:r>
        <w:rPr>
          <w:szCs w:val="24"/>
        </w:rPr>
        <w:t xml:space="preserve">; обезбедити пројектовање и изградњу канала и ригола којима ће се са саобраћајница потенцијално зауљене отпадне воде и воде од одржавања одводити у таложник - сепаратор уља и масти, пре упуштања у канализационе колекторе и касније у водотоке; </w:t>
      </w:r>
    </w:p>
    <w:p>
      <w:pPr>
        <w:pStyle w:val="Normal"/>
        <w:widowControl w:val="false"/>
        <w:numPr>
          <w:ilvl w:val="0"/>
          <w:numId w:val="16"/>
        </w:numPr>
        <w:tabs>
          <w:tab w:val="clear" w:pos="720"/>
          <w:tab w:val="left" w:pos="630" w:leader="none"/>
          <w:tab w:val="left" w:pos="709" w:leader="none"/>
        </w:tabs>
        <w:suppressAutoHyphens w:val="false"/>
        <w:ind w:left="0" w:hanging="0"/>
        <w:rPr>
          <w:rFonts w:ascii="Times New Roman" w:hAnsi="Times New Roman"/>
        </w:rPr>
      </w:pPr>
      <w:r>
        <w:rPr>
          <w:szCs w:val="24"/>
        </w:rPr>
        <w:t>загађене зауљене атмосферске воде са манипулативних површина као и воде од прања и од одржавања тих површина, пре испуштања у реципијент, морају се прикупити посебним системом канализације и спровести преко таложника за уклањање механичких нечистоћа и сепаратора за уклањање нафте и њених деривата, таквим да ефлуент буде у складу са Уредбом о граничним вредностима емисије загађујућих материја у воде и роковима за њихово достизање („</w:t>
      </w:r>
      <w:r>
        <w:rPr>
          <w:szCs w:val="24"/>
          <w:lang w:val="sr-RS"/>
        </w:rPr>
        <w:t>Сл. гласник</w:t>
      </w:r>
      <w:r>
        <w:rPr>
          <w:szCs w:val="24"/>
        </w:rPr>
        <w:t xml:space="preserve"> РС“ број 67/11, 48/12 и 1/16). </w:t>
      </w:r>
    </w:p>
    <w:p>
      <w:pPr>
        <w:pStyle w:val="Normal"/>
        <w:widowControl w:val="false"/>
        <w:numPr>
          <w:ilvl w:val="0"/>
          <w:numId w:val="16"/>
        </w:numPr>
        <w:tabs>
          <w:tab w:val="clear" w:pos="720"/>
          <w:tab w:val="left" w:pos="630" w:leader="none"/>
          <w:tab w:val="left" w:pos="709" w:leader="none"/>
        </w:tabs>
        <w:suppressAutoHyphens w:val="false"/>
        <w:ind w:left="0" w:hanging="0"/>
        <w:rPr>
          <w:rFonts w:ascii="Times New Roman" w:hAnsi="Times New Roman"/>
        </w:rPr>
      </w:pPr>
      <w:r>
        <w:rPr>
          <w:szCs w:val="24"/>
          <w:lang w:val="en-GB"/>
        </w:rPr>
        <w:t>атмосферске воде са условно чистих површина (кровови, надстрешнице</w:t>
      </w:r>
      <w:r>
        <w:rPr>
          <w:szCs w:val="24"/>
        </w:rPr>
        <w:t>, некомуникационе површине</w:t>
      </w:r>
      <w:r>
        <w:rPr>
          <w:szCs w:val="24"/>
          <w:lang w:val="en-GB"/>
        </w:rPr>
        <w:t>)</w:t>
      </w:r>
      <w:r>
        <w:rPr>
          <w:spacing w:val="40"/>
          <w:szCs w:val="24"/>
          <w:lang w:val="en-GB"/>
        </w:rPr>
        <w:t xml:space="preserve"> </w:t>
      </w:r>
      <w:r>
        <w:rPr>
          <w:szCs w:val="24"/>
          <w:lang w:val="en-GB"/>
        </w:rPr>
        <w:t xml:space="preserve">могу се </w:t>
      </w:r>
      <w:r>
        <w:rPr>
          <w:szCs w:val="24"/>
        </w:rPr>
        <w:t xml:space="preserve">прикупити системом ригола и </w:t>
      </w:r>
      <w:r>
        <w:rPr>
          <w:szCs w:val="24"/>
          <w:lang w:val="en-GB"/>
        </w:rPr>
        <w:t xml:space="preserve">без претходног пречишћавања слободно испуштати у околне зелене </w:t>
      </w:r>
      <w:r>
        <w:rPr>
          <w:spacing w:val="-2"/>
          <w:szCs w:val="24"/>
          <w:lang w:val="en-GB"/>
        </w:rPr>
        <w:t>површине;</w:t>
      </w:r>
    </w:p>
    <w:p>
      <w:pPr>
        <w:pStyle w:val="Normal"/>
        <w:tabs>
          <w:tab w:val="clear" w:pos="720"/>
          <w:tab w:val="left" w:pos="630" w:leader="none"/>
        </w:tabs>
        <w:rPr>
          <w:rFonts w:ascii="Times New Roman" w:hAnsi="Times New Roman"/>
        </w:rPr>
      </w:pPr>
      <w:r>
        <w:rPr>
          <w:szCs w:val="24"/>
        </w:rPr>
        <w:t>Као мере заштите вода морају се</w:t>
      </w:r>
      <w:r>
        <w:rPr>
          <w:spacing w:val="40"/>
          <w:szCs w:val="24"/>
        </w:rPr>
        <w:t xml:space="preserve"> </w:t>
      </w:r>
      <w:r>
        <w:rPr>
          <w:szCs w:val="24"/>
        </w:rPr>
        <w:t>предузимати и следеће активности:</w:t>
      </w:r>
    </w:p>
    <w:p>
      <w:pPr>
        <w:pStyle w:val="Normal"/>
        <w:numPr>
          <w:ilvl w:val="0"/>
          <w:numId w:val="15"/>
        </w:numPr>
        <w:tabs>
          <w:tab w:val="clear" w:pos="720"/>
          <w:tab w:val="left" w:pos="494" w:leader="none"/>
          <w:tab w:val="left" w:pos="630" w:leader="none"/>
          <w:tab w:val="left" w:pos="851" w:leader="none"/>
        </w:tabs>
        <w:suppressAutoHyphens w:val="false"/>
        <w:ind w:left="0" w:hanging="0"/>
        <w:rPr>
          <w:rFonts w:ascii="Times New Roman" w:hAnsi="Times New Roman"/>
        </w:rPr>
      </w:pPr>
      <w:r>
        <w:rPr>
          <w:bCs/>
          <w:szCs w:val="24"/>
        </w:rPr>
        <w:t xml:space="preserve">у случају изливања штетних материја у </w:t>
      </w:r>
      <w:r>
        <w:rPr>
          <w:bCs/>
          <w:szCs w:val="24"/>
          <w:lang w:val="sr-RS"/>
        </w:rPr>
        <w:t>Велик</w:t>
      </w:r>
      <w:r>
        <w:rPr>
          <w:bCs/>
          <w:szCs w:val="24"/>
        </w:rPr>
        <w:t>у реку, потребно је извршити одговарајуће анализе воде и предузети мере  за заштиту живог света;</w:t>
      </w:r>
    </w:p>
    <w:p>
      <w:pPr>
        <w:pStyle w:val="Normal"/>
        <w:numPr>
          <w:ilvl w:val="0"/>
          <w:numId w:val="15"/>
        </w:numPr>
        <w:tabs>
          <w:tab w:val="clear" w:pos="720"/>
          <w:tab w:val="left" w:pos="630" w:leader="none"/>
          <w:tab w:val="left" w:pos="851" w:leader="none"/>
        </w:tabs>
        <w:suppressAutoHyphens w:val="false"/>
        <w:ind w:left="0" w:hanging="0"/>
        <w:rPr>
          <w:rFonts w:ascii="Times New Roman" w:hAnsi="Times New Roman"/>
        </w:rPr>
      </w:pPr>
      <w:r>
        <w:rPr>
          <w:bCs/>
          <w:szCs w:val="24"/>
        </w:rPr>
        <w:t xml:space="preserve">забрањено је одлагање вишка материјала у и уз водотоке, повремене токове; </w:t>
      </w:r>
    </w:p>
    <w:p>
      <w:pPr>
        <w:pStyle w:val="Normal"/>
        <w:numPr>
          <w:ilvl w:val="0"/>
          <w:numId w:val="15"/>
        </w:numPr>
        <w:tabs>
          <w:tab w:val="clear" w:pos="720"/>
          <w:tab w:val="left" w:pos="630" w:leader="none"/>
          <w:tab w:val="left" w:pos="851" w:leader="none"/>
        </w:tabs>
        <w:suppressAutoHyphens w:val="false"/>
        <w:ind w:left="0" w:hanging="0"/>
        <w:rPr>
          <w:rFonts w:ascii="Times New Roman" w:hAnsi="Times New Roman"/>
        </w:rPr>
      </w:pPr>
      <w:r>
        <w:rPr>
          <w:szCs w:val="24"/>
        </w:rPr>
        <w:t xml:space="preserve">неопходна је едукација становништва и потрошача ради смањења примарног загађења. </w:t>
      </w:r>
    </w:p>
    <w:p>
      <w:pPr>
        <w:pStyle w:val="Normal"/>
        <w:tabs>
          <w:tab w:val="clear" w:pos="720"/>
          <w:tab w:val="left" w:pos="1080" w:leader="none"/>
        </w:tabs>
        <w:suppressAutoHyphens w:val="false"/>
        <w:textAlignment w:val="center"/>
        <w:rPr>
          <w:rFonts w:ascii="Times New Roman" w:hAnsi="Times New Roman" w:eastAsia="Times New Roman"/>
          <w:b/>
          <w:b/>
          <w:i/>
          <w:i/>
          <w:szCs w:val="24"/>
        </w:rPr>
      </w:pPr>
      <w:r>
        <w:rPr>
          <w:rFonts w:eastAsia="Times New Roman"/>
          <w:b/>
          <w:i/>
          <w:szCs w:val="24"/>
        </w:rPr>
      </w:r>
    </w:p>
    <w:p>
      <w:pPr>
        <w:pStyle w:val="Normal"/>
        <w:tabs>
          <w:tab w:val="clear" w:pos="720"/>
          <w:tab w:val="left" w:pos="1080" w:leader="none"/>
        </w:tabs>
        <w:suppressAutoHyphens w:val="false"/>
        <w:textAlignment w:val="center"/>
        <w:rPr>
          <w:rFonts w:ascii="Times New Roman" w:hAnsi="Times New Roman" w:eastAsia="Times New Roman"/>
          <w:b/>
          <w:b/>
          <w:i/>
          <w:i/>
          <w:szCs w:val="24"/>
        </w:rPr>
      </w:pPr>
      <w:r>
        <w:rPr>
          <w:rFonts w:eastAsia="Times New Roman"/>
          <w:b/>
          <w:i/>
          <w:szCs w:val="24"/>
        </w:rPr>
      </w:r>
      <w:bookmarkStart w:id="39" w:name="_Hlk153358030"/>
      <w:bookmarkStart w:id="40" w:name="_Hlk153358030"/>
      <w:bookmarkEnd w:id="40"/>
    </w:p>
    <w:p>
      <w:pPr>
        <w:pStyle w:val="ListParagraph"/>
        <w:tabs>
          <w:tab w:val="clear" w:pos="720"/>
          <w:tab w:val="left" w:pos="0" w:leader="none"/>
          <w:tab w:val="left" w:pos="426" w:leader="none"/>
        </w:tabs>
        <w:ind w:left="0" w:right="-1" w:hanging="0"/>
        <w:rPr>
          <w:rFonts w:ascii="Times New Roman" w:hAnsi="Times New Roman"/>
        </w:rPr>
      </w:pPr>
      <w:r>
        <w:rPr>
          <w:rFonts w:eastAsia="Times New Roman"/>
          <w:bCs/>
          <w:iCs/>
          <w:lang w:val="sr-RS"/>
        </w:rPr>
        <w:t>При изради техничке документације и изградњи и функцинисању предметног ППОВ  поштовати и препоруке о условима за заштиту вода, коришћење и режим површинских вода издало је:</w:t>
      </w:r>
      <w:r>
        <w:rPr>
          <w:rFonts w:eastAsia="Times New Roman"/>
          <w:b/>
          <w:i/>
          <w:lang w:val="sr-RS"/>
        </w:rPr>
        <w:t xml:space="preserve"> </w:t>
      </w:r>
      <w:r>
        <w:rPr>
          <w:rFonts w:eastAsia="Times New Roman"/>
          <w:bCs/>
          <w:spacing w:val="-2"/>
          <w:lang w:eastAsia="ar-SA"/>
        </w:rPr>
        <w:t>Јавно водопривредно предузеће  „Србијаводе“ Београд , Водопривредни центар „Морава“ Ниш</w:t>
      </w:r>
      <w:r>
        <w:rPr>
          <w:rFonts w:eastAsia="Times New Roman"/>
          <w:bCs/>
          <w:spacing w:val="-2"/>
          <w:lang w:val="sr-RS" w:eastAsia="ar-SA"/>
        </w:rPr>
        <w:t xml:space="preserve">: </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Да се изврше хидраулички прорачуни свих објеката;</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При планирању и изградњи свих објеката у обзир узети могуће услове високих  нивоа подземних вода и евентуални утицај великих вода; Извршити  идентификацију свих отпадних вода по количини и квалитету за усвојени пројектни период;</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Предвидети изградњу сепаратног система сакупљања и каналисања отпадних вода;</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Предвидети обједињавање отпадних вода у главни колектор и усмерити ка постројењу за пречишћавање отпадних вода, под условом да одговарају комуналним отпадним водама и да се третманом могу подједнако ефикасно пречишћавати као отпадне воде из домаћинства;</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Технолошке отпадне воде предвиђене да се сакупљају јавном канализацијом  се могу упуштати у јавну канализацију уколико испуњавају услове сходно Акту испуштањаотпадних вода у јавну канализацију донетог од стране органа локалне самоуправе, односно морају да испуне граничне вредности емисије за одређене групе или категорије загађујућих материја , пре испуштања у јавну канализацију;</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 xml:space="preserve">Објекте планиране поред речних токова планирати тако да се обезбеди стабилност обала и непроменљивост природних услова течења или вештачки успостављеног режима течења. </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За постројење предвидети таква техничко-технолошка решења која ће гарантовати да се постигну захтеване граничне емисије и да се неће нарушитидобар статус површинске воде након испуштања у реку;</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Да се пројектним решењем докаже да ће се реализацијом ППОВ , без обзира на фазност, очувати прописани услови за упуштање отпадних вода у реципијент, у складу са планом заштите вода од загађења и посебним законом који уређује област заштите животне средине;</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Да се уради пројекат управљања постројењем којим се дефинишу начин и динамика праћења контроле процеса прећишћавања за очекиване промењене услове у погледу квантитативно- квалитетних особина дотеклих вода као и прорачуне утицаја испуштених вода у реципијент;</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Утицај испуштања пречишћењих отпадних вода у реципијент, прорачунати на меродавни протицај, средње месечну малу воду 95% обезбеђености;</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Планирати прво изградњу ППОВ или истовремено са колектором, јер се непречишћена отпадне воде не смеју упуштати у реципијент;</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 xml:space="preserve">Предвидети мерење количине пречишћених вода, као и места за узорковање материјала за испитивање биомеханичких и механичних параметара квалитета отпадних вода; </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Предвидети мере за заштиту ППОВ од великих вода;</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Пројектом предвидети објекте и контејнере за прихват хазардних и загађујућих материја насталих у процесу рада (муљ и сл..)</w:t>
      </w:r>
    </w:p>
    <w:p>
      <w:pPr>
        <w:pStyle w:val="ListParagraph"/>
        <w:numPr>
          <w:ilvl w:val="0"/>
          <w:numId w:val="31"/>
        </w:numPr>
        <w:tabs>
          <w:tab w:val="clear" w:pos="720"/>
          <w:tab w:val="left" w:pos="1080" w:leader="none"/>
        </w:tabs>
        <w:suppressAutoHyphens w:val="false"/>
        <w:ind w:left="0" w:hanging="0"/>
        <w:textAlignment w:val="center"/>
        <w:rPr>
          <w:rFonts w:ascii="Times New Roman" w:hAnsi="Times New Roman"/>
        </w:rPr>
      </w:pPr>
      <w:r>
        <w:rPr>
          <w:rFonts w:eastAsia="Times New Roman"/>
          <w:bCs/>
          <w:iCs/>
          <w:lang w:val="sr-RS"/>
        </w:rPr>
        <w:t xml:space="preserve">На месту изливне грађевине предвидети одговарајућу заштиту днд и косина водотока и иста не сме да негативно утиче на режим вода, пронос наноса и сл. </w:t>
      </w:r>
    </w:p>
    <w:p>
      <w:pPr>
        <w:pStyle w:val="Normal"/>
        <w:tabs>
          <w:tab w:val="clear" w:pos="720"/>
          <w:tab w:val="left" w:pos="1080" w:leader="none"/>
        </w:tabs>
        <w:suppressAutoHyphens w:val="false"/>
        <w:textAlignment w:val="center"/>
        <w:rPr>
          <w:rFonts w:ascii="Times New Roman" w:hAnsi="Times New Roman" w:eastAsia="Times New Roman"/>
          <w:b/>
          <w:b/>
          <w:i/>
          <w:i/>
          <w:szCs w:val="24"/>
        </w:rPr>
      </w:pPr>
      <w:r>
        <w:rPr>
          <w:rFonts w:eastAsia="Times New Roman"/>
          <w:b/>
          <w:i/>
          <w:szCs w:val="24"/>
        </w:rPr>
      </w:r>
    </w:p>
    <w:p>
      <w:pPr>
        <w:pStyle w:val="Normal"/>
        <w:tabs>
          <w:tab w:val="clear" w:pos="720"/>
          <w:tab w:val="left" w:pos="1080" w:leader="none"/>
        </w:tabs>
        <w:suppressAutoHyphens w:val="false"/>
        <w:textAlignment w:val="center"/>
        <w:rPr>
          <w:rFonts w:ascii="Times New Roman" w:hAnsi="Times New Roman" w:eastAsia="Times New Roman"/>
          <w:b/>
          <w:b/>
          <w:i/>
          <w:i/>
          <w:szCs w:val="24"/>
        </w:rPr>
      </w:pPr>
      <w:r>
        <w:rPr>
          <w:rFonts w:eastAsia="Times New Roman"/>
          <w:b/>
          <w:i/>
          <w:szCs w:val="24"/>
        </w:rPr>
      </w:r>
    </w:p>
    <w:p>
      <w:pPr>
        <w:pStyle w:val="Normal"/>
        <w:tabs>
          <w:tab w:val="clear" w:pos="720"/>
          <w:tab w:val="left" w:pos="630" w:leader="none"/>
          <w:tab w:val="left" w:pos="1080" w:leader="none"/>
        </w:tabs>
        <w:suppressAutoHyphens w:val="false"/>
        <w:textAlignment w:val="center"/>
        <w:rPr>
          <w:rFonts w:ascii="Times New Roman" w:hAnsi="Times New Roman"/>
        </w:rPr>
      </w:pPr>
      <w:r>
        <w:rPr>
          <w:rFonts w:eastAsia="Times New Roman"/>
          <w:b/>
          <w:i/>
          <w:szCs w:val="24"/>
          <w:lang w:val="sr-RS"/>
        </w:rPr>
        <w:t>--</w:t>
      </w:r>
      <w:r>
        <w:rPr>
          <w:rFonts w:eastAsia="Times New Roman"/>
          <w:b/>
          <w:i/>
          <w:szCs w:val="24"/>
        </w:rPr>
        <w:t xml:space="preserve">Мере за заштиту земљишта </w:t>
      </w:r>
      <w:r>
        <w:rPr>
          <w:rFonts w:eastAsia="Times New Roman"/>
          <w:b/>
          <w:i/>
          <w:szCs w:val="24"/>
          <w:lang w:val="ru-RU"/>
        </w:rPr>
        <w:t>и флоре и фауне и управљање отпадом</w:t>
      </w:r>
      <w:bookmarkStart w:id="41" w:name="_Hlk153358079"/>
      <w:bookmarkEnd w:id="41"/>
    </w:p>
    <w:p>
      <w:pPr>
        <w:pStyle w:val="Normal"/>
        <w:tabs>
          <w:tab w:val="clear" w:pos="720"/>
          <w:tab w:val="left" w:pos="630" w:leader="none"/>
          <w:tab w:val="left" w:pos="1080" w:leader="none"/>
        </w:tabs>
        <w:suppressAutoHyphens w:val="false"/>
        <w:textAlignment w:val="center"/>
        <w:rPr>
          <w:rFonts w:ascii="Times New Roman" w:hAnsi="Times New Roman"/>
        </w:rPr>
      </w:pPr>
      <w:r>
        <w:rPr>
          <w:rFonts w:eastAsia="Times New Roman"/>
          <w:b/>
          <w:i/>
          <w:szCs w:val="24"/>
          <w:lang w:val="ru-RU"/>
        </w:rPr>
        <w:t>(</w:t>
      </w:r>
      <w:r>
        <w:rPr>
          <w:rFonts w:eastAsia="Times New Roman"/>
          <w:bCs/>
          <w:iCs/>
          <w:szCs w:val="24"/>
          <w:lang w:val="ru-RU"/>
        </w:rPr>
        <w:t xml:space="preserve">на локацији и њеном окружењу –подручју насеља </w:t>
      </w:r>
      <w:r>
        <w:rPr>
          <w:bCs/>
          <w:iCs/>
          <w:szCs w:val="24"/>
          <w:lang w:val="ru-RU"/>
        </w:rPr>
        <w:t>Витошевац</w:t>
      </w:r>
      <w:r>
        <w:rPr>
          <w:rFonts w:eastAsia="Times New Roman"/>
          <w:bCs/>
          <w:iCs/>
          <w:szCs w:val="24"/>
          <w:lang w:val="ru-RU"/>
        </w:rPr>
        <w:t xml:space="preserve">) </w:t>
      </w:r>
    </w:p>
    <w:p>
      <w:pPr>
        <w:pStyle w:val="Normal"/>
        <w:tabs>
          <w:tab w:val="clear" w:pos="720"/>
          <w:tab w:val="left" w:pos="630" w:leader="none"/>
        </w:tabs>
        <w:suppressAutoHyphens w:val="false"/>
        <w:textAlignment w:val="center"/>
        <w:rPr>
          <w:rFonts w:ascii="Times New Roman" w:hAnsi="Times New Roman"/>
        </w:rPr>
      </w:pPr>
      <w:r>
        <w:rPr>
          <w:rFonts w:eastAsia="Times New Roman"/>
          <w:szCs w:val="24"/>
          <w:lang w:val="ru-RU"/>
        </w:rPr>
        <w:t xml:space="preserve">Заштита околног пољопривредног земљишта и вегетације ће се постићи спровођењем следећих мера: </w:t>
      </w:r>
    </w:p>
    <w:p>
      <w:pPr>
        <w:pStyle w:val="ListParagraph"/>
        <w:numPr>
          <w:ilvl w:val="0"/>
          <w:numId w:val="13"/>
        </w:numPr>
        <w:tabs>
          <w:tab w:val="clear" w:pos="720"/>
          <w:tab w:val="left" w:pos="630" w:leader="none"/>
          <w:tab w:val="left" w:pos="900" w:leader="none"/>
        </w:tabs>
        <w:suppressAutoHyphens w:val="false"/>
        <w:ind w:left="0" w:hanging="0"/>
        <w:textAlignment w:val="center"/>
        <w:rPr>
          <w:rFonts w:ascii="Times New Roman" w:hAnsi="Times New Roman"/>
        </w:rPr>
      </w:pPr>
      <w:r>
        <w:rPr>
          <w:rFonts w:eastAsia="Times New Roman"/>
          <w:lang w:val="sr-RS"/>
        </w:rPr>
        <w:t xml:space="preserve">уколико су Планом обухваћене шуме сопственика, оне се морају узети у обзир и морају се поштовати одредбе Закона о шумама („Сл. Гласник РС“, бр.30/10, 93/12, 89/15 и 95/18-др.закон); </w:t>
      </w:r>
    </w:p>
    <w:p>
      <w:pPr>
        <w:pStyle w:val="Normal"/>
        <w:numPr>
          <w:ilvl w:val="0"/>
          <w:numId w:val="13"/>
        </w:numPr>
        <w:suppressAutoHyphens w:val="false"/>
        <w:ind w:left="0" w:hanging="0"/>
        <w:textAlignment w:val="center"/>
        <w:rPr>
          <w:rFonts w:ascii="Times New Roman" w:hAnsi="Times New Roman"/>
        </w:rPr>
      </w:pPr>
      <w:r>
        <w:rPr>
          <w:rFonts w:eastAsia="Times New Roman"/>
          <w:szCs w:val="24"/>
          <w:lang w:val="ru-RU"/>
        </w:rPr>
        <w:t xml:space="preserve">заустављањем процеса градње објеката на површинама које нису планиране за изградњу, како би се спречила деградација пољопривредног земљишта; </w:t>
      </w:r>
    </w:p>
    <w:p>
      <w:pPr>
        <w:pStyle w:val="Normal"/>
        <w:numPr>
          <w:ilvl w:val="0"/>
          <w:numId w:val="13"/>
        </w:numPr>
        <w:suppressAutoHyphens w:val="false"/>
        <w:ind w:left="0" w:hanging="0"/>
        <w:rPr>
          <w:rFonts w:ascii="Times New Roman" w:hAnsi="Times New Roman"/>
        </w:rPr>
      </w:pPr>
      <w:r>
        <w:rPr>
          <w:rFonts w:eastAsia="ArialMT"/>
          <w:szCs w:val="24"/>
        </w:rPr>
        <w:t>забрањено је испуштање и одлагање опасних и штетних материја у земљиште,</w:t>
      </w:r>
    </w:p>
    <w:p>
      <w:pPr>
        <w:pStyle w:val="Normal"/>
        <w:numPr>
          <w:ilvl w:val="0"/>
          <w:numId w:val="13"/>
        </w:numPr>
        <w:suppressAutoHyphens w:val="false"/>
        <w:ind w:left="0" w:hanging="0"/>
        <w:textAlignment w:val="center"/>
        <w:rPr>
          <w:rFonts w:ascii="Times New Roman" w:hAnsi="Times New Roman"/>
        </w:rPr>
      </w:pPr>
      <w:r>
        <w:rPr>
          <w:rFonts w:eastAsia="Times New Roman"/>
          <w:szCs w:val="24"/>
          <w:lang w:val="ru-RU"/>
        </w:rPr>
        <w:t xml:space="preserve">изградњом </w:t>
      </w:r>
      <w:r>
        <w:rPr>
          <w:rFonts w:eastAsia="Times New Roman"/>
          <w:szCs w:val="24"/>
        </w:rPr>
        <w:t xml:space="preserve">недостајуће </w:t>
      </w:r>
      <w:r>
        <w:rPr>
          <w:rFonts w:eastAsia="Times New Roman"/>
          <w:szCs w:val="24"/>
          <w:lang w:val="ru-RU"/>
        </w:rPr>
        <w:t>канализације</w:t>
      </w:r>
      <w:r>
        <w:rPr>
          <w:rFonts w:eastAsia="Times New Roman"/>
          <w:szCs w:val="24"/>
        </w:rPr>
        <w:t xml:space="preserve"> на предметном простору </w:t>
      </w:r>
      <w:r>
        <w:rPr>
          <w:rFonts w:eastAsia="Times New Roman"/>
          <w:szCs w:val="24"/>
          <w:lang w:val="ru-RU"/>
        </w:rPr>
        <w:t xml:space="preserve">смањиће се опасност од потенцијалног загађивања тла и подземних вода; </w:t>
      </w:r>
    </w:p>
    <w:p>
      <w:pPr>
        <w:pStyle w:val="Normal"/>
        <w:numPr>
          <w:ilvl w:val="0"/>
          <w:numId w:val="13"/>
        </w:numPr>
        <w:suppressAutoHyphens w:val="false"/>
        <w:ind w:left="0" w:hanging="0"/>
        <w:textAlignment w:val="center"/>
        <w:rPr>
          <w:rFonts w:ascii="Times New Roman" w:hAnsi="Times New Roman"/>
        </w:rPr>
      </w:pPr>
      <w:r>
        <w:rPr>
          <w:rFonts w:eastAsia="Times New Roman"/>
          <w:szCs w:val="24"/>
          <w:lang w:val="ru-RU"/>
        </w:rPr>
        <w:t>регулацијом саобраћаја смањиће се аерозагађење, као и таложење чврстих материја из ваздуха на тле;</w:t>
      </w:r>
    </w:p>
    <w:p>
      <w:pPr>
        <w:pStyle w:val="Normal"/>
        <w:numPr>
          <w:ilvl w:val="0"/>
          <w:numId w:val="13"/>
        </w:numPr>
        <w:suppressAutoHyphens w:val="false"/>
        <w:ind w:left="0" w:hanging="0"/>
        <w:textAlignment w:val="center"/>
        <w:rPr>
          <w:rFonts w:ascii="Times New Roman" w:hAnsi="Times New Roman"/>
        </w:rPr>
      </w:pPr>
      <w:r>
        <w:rPr>
          <w:rFonts w:eastAsia="Times New Roman"/>
          <w:szCs w:val="24"/>
        </w:rPr>
        <w:t xml:space="preserve">забраном одлагања грађевинског и осталог чврстог отпада на за то непредвиђеним површинама и локацијама и инфраструктурном појасу; </w:t>
      </w:r>
    </w:p>
    <w:p>
      <w:pPr>
        <w:pStyle w:val="Normal"/>
        <w:numPr>
          <w:ilvl w:val="0"/>
          <w:numId w:val="13"/>
        </w:numPr>
        <w:suppressAutoHyphens w:val="false"/>
        <w:ind w:left="0" w:hanging="0"/>
        <w:textAlignment w:val="center"/>
        <w:rPr>
          <w:rFonts w:ascii="Times New Roman" w:hAnsi="Times New Roman"/>
        </w:rPr>
      </w:pPr>
      <w:r>
        <w:rPr>
          <w:rFonts w:eastAsia="Times New Roman"/>
          <w:position w:val="1"/>
          <w:szCs w:val="24"/>
        </w:rPr>
        <w:t xml:space="preserve">рекултивацијом и санацијом свих површина у претходно стање, а које су </w:t>
      </w:r>
      <w:r>
        <w:rPr>
          <w:rFonts w:eastAsia="Times New Roman"/>
          <w:szCs w:val="24"/>
        </w:rPr>
        <w:t>деградиране током грађевинских радова за потребе изградње планираних објеката и инфраструктурних система;</w:t>
      </w:r>
    </w:p>
    <w:p>
      <w:pPr>
        <w:pStyle w:val="Normal"/>
        <w:numPr>
          <w:ilvl w:val="0"/>
          <w:numId w:val="13"/>
        </w:numPr>
        <w:suppressAutoHyphens w:val="false"/>
        <w:ind w:left="0" w:hanging="0"/>
        <w:textAlignment w:val="center"/>
        <w:rPr>
          <w:rFonts w:ascii="Times New Roman" w:hAnsi="Times New Roman"/>
        </w:rPr>
      </w:pPr>
      <w:r>
        <w:rPr>
          <w:rFonts w:eastAsia="Times New Roman"/>
          <w:position w:val="1"/>
          <w:szCs w:val="24"/>
        </w:rPr>
        <w:t xml:space="preserve">уређивањем зелених површина, уз </w:t>
      </w:r>
      <w:r>
        <w:rPr>
          <w:rFonts w:eastAsia="Times New Roman"/>
          <w:szCs w:val="24"/>
        </w:rPr>
        <w:t>претходно извршену валоризацију постојеће вегетације</w:t>
      </w:r>
      <w:r>
        <w:rPr>
          <w:rFonts w:eastAsia="Times New Roman"/>
          <w:spacing w:val="40"/>
          <w:szCs w:val="24"/>
        </w:rPr>
        <w:t xml:space="preserve"> </w:t>
      </w:r>
      <w:r>
        <w:rPr>
          <w:rFonts w:eastAsia="Times New Roman"/>
          <w:szCs w:val="24"/>
        </w:rPr>
        <w:t>и задржавање свих вредних стабала у границама предметног плана;</w:t>
      </w:r>
    </w:p>
    <w:p>
      <w:pPr>
        <w:pStyle w:val="Normal"/>
        <w:numPr>
          <w:ilvl w:val="0"/>
          <w:numId w:val="13"/>
        </w:numPr>
        <w:tabs>
          <w:tab w:val="clear" w:pos="720"/>
          <w:tab w:val="left" w:pos="900" w:leader="none"/>
        </w:tabs>
        <w:suppressAutoHyphens w:val="false"/>
        <w:ind w:left="0" w:hanging="0"/>
        <w:textAlignment w:val="center"/>
        <w:rPr>
          <w:rFonts w:ascii="Times New Roman" w:hAnsi="Times New Roman"/>
        </w:rPr>
      </w:pPr>
      <w:r>
        <w:rPr>
          <w:rFonts w:eastAsia="Times New Roman"/>
          <w:szCs w:val="24"/>
        </w:rPr>
        <w:t xml:space="preserve">ако при извођењу радова дође до удеса на грађевинским машинама или транспортним средствима, односно изливања уља и горива у земљиште, извођач је у обавези да одмах прекине радове и изврши санацију, односно ремедијацију загађене површине; </w:t>
      </w:r>
    </w:p>
    <w:p>
      <w:pPr>
        <w:pStyle w:val="Normal"/>
        <w:numPr>
          <w:ilvl w:val="0"/>
          <w:numId w:val="13"/>
        </w:numPr>
        <w:tabs>
          <w:tab w:val="clear" w:pos="720"/>
          <w:tab w:val="left" w:pos="900" w:leader="none"/>
        </w:tabs>
        <w:suppressAutoHyphens w:val="false"/>
        <w:ind w:left="0" w:hanging="0"/>
        <w:textAlignment w:val="center"/>
        <w:rPr>
          <w:rFonts w:ascii="Times New Roman" w:hAnsi="Times New Roman"/>
        </w:rPr>
      </w:pPr>
      <w:r>
        <w:rPr>
          <w:rFonts w:eastAsia="Times New Roman"/>
          <w:szCs w:val="24"/>
          <w:lang w:val="ru-RU"/>
        </w:rPr>
        <w:t xml:space="preserve">обавезно је управљање комуналним отпадом на основу плана управљања отпадом и локалних нормативних аката и у складу са важећом законском регулативом. </w:t>
      </w:r>
    </w:p>
    <w:p>
      <w:pPr>
        <w:pStyle w:val="Normal"/>
        <w:numPr>
          <w:ilvl w:val="0"/>
          <w:numId w:val="13"/>
        </w:numPr>
        <w:suppressAutoHyphens w:val="false"/>
        <w:ind w:left="0" w:hanging="0"/>
        <w:textAlignment w:val="center"/>
        <w:rPr>
          <w:rFonts w:ascii="Times New Roman" w:hAnsi="Times New Roman"/>
        </w:rPr>
      </w:pPr>
      <w:r>
        <w:rPr>
          <w:rFonts w:eastAsia="Times New Roman"/>
          <w:szCs w:val="24"/>
        </w:rPr>
        <w:t xml:space="preserve">ново зеленило планирати у интеракцији са постојећом и будућом наменом простора у циљу очувања и унапређења животне средине; </w:t>
      </w:r>
    </w:p>
    <w:p>
      <w:pPr>
        <w:pStyle w:val="Normal"/>
        <w:numPr>
          <w:ilvl w:val="0"/>
          <w:numId w:val="13"/>
        </w:numPr>
        <w:suppressAutoHyphens w:val="false"/>
        <w:ind w:left="0" w:hanging="0"/>
        <w:textAlignment w:val="center"/>
        <w:rPr>
          <w:rFonts w:ascii="Times New Roman" w:hAnsi="Times New Roman"/>
        </w:rPr>
      </w:pPr>
      <w:r>
        <w:rPr>
          <w:rFonts w:eastAsia="Times New Roman"/>
          <w:szCs w:val="24"/>
        </w:rPr>
        <w:t xml:space="preserve">при одабиру зеленила препоручује се аутохтона дендрофлора и то врсте најбоље прилагођене локалним педолошким и климатским условима; зеленило одабрати према еколошким, функционалним и декоративним својствима, односно одабрати врсте које су биолошки постојане, естетски прихватљиве и прилагођене околном простору и његовој намени. </w:t>
      </w:r>
      <w:bookmarkStart w:id="42" w:name="_Hlk75450978"/>
      <w:bookmarkEnd w:id="42"/>
    </w:p>
    <w:p>
      <w:pPr>
        <w:pStyle w:val="Normal"/>
        <w:rPr>
          <w:rFonts w:ascii="Times New Roman" w:hAnsi="Times New Roman"/>
        </w:rPr>
      </w:pPr>
      <w:r>
        <w:rPr>
          <w:szCs w:val="24"/>
        </w:rPr>
        <w:t>Заштита</w:t>
      </w:r>
      <w:r>
        <w:rPr>
          <w:spacing w:val="-8"/>
          <w:szCs w:val="24"/>
        </w:rPr>
        <w:t xml:space="preserve"> </w:t>
      </w:r>
      <w:r>
        <w:rPr>
          <w:szCs w:val="24"/>
        </w:rPr>
        <w:t>земљишта</w:t>
      </w:r>
      <w:r>
        <w:rPr>
          <w:spacing w:val="-5"/>
          <w:szCs w:val="24"/>
        </w:rPr>
        <w:t xml:space="preserve"> </w:t>
      </w:r>
      <w:r>
        <w:rPr>
          <w:szCs w:val="24"/>
        </w:rPr>
        <w:t>спроводиће</w:t>
      </w:r>
      <w:r>
        <w:rPr>
          <w:spacing w:val="-5"/>
          <w:szCs w:val="24"/>
        </w:rPr>
        <w:t xml:space="preserve"> </w:t>
      </w:r>
      <w:r>
        <w:rPr>
          <w:szCs w:val="24"/>
        </w:rPr>
        <w:t>се</w:t>
      </w:r>
      <w:r>
        <w:rPr>
          <w:spacing w:val="-8"/>
          <w:szCs w:val="24"/>
        </w:rPr>
        <w:t xml:space="preserve"> </w:t>
      </w:r>
      <w:r>
        <w:rPr>
          <w:szCs w:val="24"/>
        </w:rPr>
        <w:t>применом</w:t>
      </w:r>
      <w:r>
        <w:rPr>
          <w:spacing w:val="-8"/>
          <w:szCs w:val="24"/>
        </w:rPr>
        <w:t xml:space="preserve"> </w:t>
      </w:r>
      <w:r>
        <w:rPr>
          <w:szCs w:val="24"/>
        </w:rPr>
        <w:t>правила</w:t>
      </w:r>
      <w:r>
        <w:rPr>
          <w:spacing w:val="-5"/>
          <w:szCs w:val="24"/>
        </w:rPr>
        <w:t xml:space="preserve"> </w:t>
      </w:r>
      <w:r>
        <w:rPr>
          <w:szCs w:val="24"/>
        </w:rPr>
        <w:t>и</w:t>
      </w:r>
      <w:r>
        <w:rPr>
          <w:spacing w:val="-5"/>
          <w:szCs w:val="24"/>
        </w:rPr>
        <w:t xml:space="preserve"> </w:t>
      </w:r>
      <w:r>
        <w:rPr>
          <w:szCs w:val="24"/>
        </w:rPr>
        <w:t>мера</w:t>
      </w:r>
      <w:r>
        <w:rPr>
          <w:spacing w:val="-5"/>
          <w:szCs w:val="24"/>
        </w:rPr>
        <w:t xml:space="preserve"> </w:t>
      </w:r>
      <w:r>
        <w:rPr>
          <w:spacing w:val="-2"/>
          <w:szCs w:val="24"/>
        </w:rPr>
        <w:t>заштите:</w:t>
      </w:r>
    </w:p>
    <w:p>
      <w:pPr>
        <w:pStyle w:val="Normal"/>
        <w:widowControl w:val="false"/>
        <w:numPr>
          <w:ilvl w:val="0"/>
          <w:numId w:val="20"/>
        </w:numPr>
        <w:tabs>
          <w:tab w:val="clear" w:pos="720"/>
          <w:tab w:val="left" w:pos="832" w:leader="none"/>
        </w:tabs>
        <w:suppressAutoHyphens w:val="false"/>
        <w:ind w:left="0" w:hanging="0"/>
        <w:rPr>
          <w:rFonts w:ascii="Times New Roman" w:hAnsi="Times New Roman"/>
        </w:rPr>
      </w:pPr>
      <w:r>
        <w:rPr>
          <w:szCs w:val="24"/>
          <w:lang w:val="en-GB"/>
        </w:rPr>
        <w:t>спровести систематско</w:t>
      </w:r>
      <w:r>
        <w:rPr>
          <w:spacing w:val="-1"/>
          <w:szCs w:val="24"/>
          <w:lang w:val="en-GB"/>
        </w:rPr>
        <w:t xml:space="preserve"> </w:t>
      </w:r>
      <w:r>
        <w:rPr>
          <w:szCs w:val="24"/>
          <w:lang w:val="en-GB"/>
        </w:rPr>
        <w:t xml:space="preserve">праћење квалитета земљишта: праћење концентрације тешких метала у земљишту, суспендованих честица и праћење концентрације азота у </w:t>
      </w:r>
      <w:r>
        <w:rPr>
          <w:spacing w:val="-2"/>
          <w:szCs w:val="24"/>
          <w:lang w:val="en-GB"/>
        </w:rPr>
        <w:t>земљишту</w:t>
      </w:r>
    </w:p>
    <w:p>
      <w:pPr>
        <w:pStyle w:val="Normal"/>
        <w:widowControl w:val="false"/>
        <w:numPr>
          <w:ilvl w:val="0"/>
          <w:numId w:val="20"/>
        </w:numPr>
        <w:tabs>
          <w:tab w:val="clear" w:pos="720"/>
          <w:tab w:val="left" w:pos="832" w:leader="none"/>
        </w:tabs>
        <w:suppressAutoHyphens w:val="false"/>
        <w:ind w:left="0" w:hanging="0"/>
        <w:rPr>
          <w:rFonts w:ascii="Times New Roman" w:hAnsi="Times New Roman"/>
        </w:rPr>
      </w:pPr>
      <w:r>
        <w:rPr>
          <w:szCs w:val="24"/>
          <w:lang w:val="en-GB"/>
        </w:rPr>
        <w:t>предузимањем мера директне заштите вода, обезбедиће се и заштита земљишта од загађења, што се односи на предвиђена решења за евакуацију и пречишћавање отпадних вода</w:t>
      </w:r>
    </w:p>
    <w:p>
      <w:pPr>
        <w:pStyle w:val="Normal"/>
        <w:widowControl w:val="false"/>
        <w:numPr>
          <w:ilvl w:val="0"/>
          <w:numId w:val="20"/>
        </w:numPr>
        <w:tabs>
          <w:tab w:val="clear" w:pos="720"/>
          <w:tab w:val="left" w:pos="832" w:leader="none"/>
        </w:tabs>
        <w:suppressAutoHyphens w:val="false"/>
        <w:ind w:left="0" w:hanging="0"/>
        <w:rPr>
          <w:rFonts w:ascii="Times New Roman" w:hAnsi="Times New Roman"/>
        </w:rPr>
      </w:pPr>
      <w:r>
        <w:rPr>
          <w:szCs w:val="24"/>
          <w:lang w:val="en-GB"/>
        </w:rPr>
        <w:t>сакупљање и третирање отпадног муља из ППОВ-а вршити на прописан начин, у складу са његовим карактеристикама и законским обавезама (дефинисаће се посебним студијама и анализама)</w:t>
      </w:r>
    </w:p>
    <w:p>
      <w:pPr>
        <w:pStyle w:val="Normal"/>
        <w:widowControl w:val="false"/>
        <w:numPr>
          <w:ilvl w:val="0"/>
          <w:numId w:val="20"/>
        </w:numPr>
        <w:tabs>
          <w:tab w:val="clear" w:pos="720"/>
          <w:tab w:val="left" w:pos="832" w:leader="none"/>
        </w:tabs>
        <w:suppressAutoHyphens w:val="false"/>
        <w:ind w:left="0" w:hanging="0"/>
        <w:rPr>
          <w:rFonts w:ascii="Times New Roman" w:hAnsi="Times New Roman"/>
        </w:rPr>
      </w:pPr>
      <w:r>
        <w:rPr>
          <w:szCs w:val="24"/>
          <w:lang w:val="en-GB"/>
        </w:rPr>
        <w:t>уклањање вегетације са планског простора свести на најмању меру</w:t>
      </w:r>
      <w:r>
        <w:rPr>
          <w:spacing w:val="40"/>
          <w:szCs w:val="24"/>
          <w:lang w:val="en-GB"/>
        </w:rPr>
        <w:t xml:space="preserve"> </w:t>
      </w:r>
      <w:r>
        <w:rPr>
          <w:szCs w:val="24"/>
          <w:lang w:val="en-GB"/>
        </w:rPr>
        <w:t>и у случајевима када је то неопходно</w:t>
      </w:r>
    </w:p>
    <w:p>
      <w:pPr>
        <w:pStyle w:val="Normal"/>
        <w:widowControl w:val="false"/>
        <w:numPr>
          <w:ilvl w:val="0"/>
          <w:numId w:val="20"/>
        </w:numPr>
        <w:tabs>
          <w:tab w:val="clear" w:pos="720"/>
          <w:tab w:val="left" w:pos="832" w:leader="none"/>
        </w:tabs>
        <w:suppressAutoHyphens w:val="false"/>
        <w:ind w:left="0" w:hanging="0"/>
        <w:rPr>
          <w:rFonts w:ascii="Times New Roman" w:hAnsi="Times New Roman"/>
        </w:rPr>
      </w:pPr>
      <w:r>
        <w:rPr>
          <w:szCs w:val="24"/>
          <w:lang w:val="en-GB"/>
        </w:rPr>
        <w:t>ако дође до хаваријског изливања горива, уља и сл обавезно је уклањање дела загађеног земљишта и његова санација заменом и затрпавањем</w:t>
      </w:r>
    </w:p>
    <w:p>
      <w:pPr>
        <w:pStyle w:val="Normal"/>
        <w:tabs>
          <w:tab w:val="clear" w:pos="720"/>
          <w:tab w:val="left" w:pos="284" w:leader="none"/>
        </w:tabs>
        <w:rPr>
          <w:rFonts w:ascii="Times New Roman" w:hAnsi="Times New Roman"/>
        </w:rPr>
      </w:pPr>
      <w:r>
        <w:rPr>
          <w:szCs w:val="24"/>
        </w:rPr>
        <w:t xml:space="preserve">У циљу ефикасног </w:t>
      </w:r>
      <w:r>
        <w:rPr>
          <w:szCs w:val="24"/>
          <w:u w:val="single"/>
        </w:rPr>
        <w:t>управљања отпадом</w:t>
      </w:r>
      <w:r>
        <w:rPr>
          <w:szCs w:val="24"/>
        </w:rPr>
        <w:t xml:space="preserve"> на подручју Плана утврђују се следеће мере: </w:t>
      </w:r>
    </w:p>
    <w:p>
      <w:pPr>
        <w:pStyle w:val="Normal"/>
        <w:numPr>
          <w:ilvl w:val="0"/>
          <w:numId w:val="14"/>
        </w:numPr>
        <w:suppressAutoHyphens w:val="false"/>
        <w:ind w:left="0" w:hanging="0"/>
        <w:rPr>
          <w:rFonts w:ascii="Times New Roman" w:hAnsi="Times New Roman"/>
        </w:rPr>
      </w:pPr>
      <w:r>
        <w:rPr>
          <w:rFonts w:eastAsia="TimesNewRomanPSMT"/>
          <w:szCs w:val="24"/>
        </w:rPr>
        <w:t xml:space="preserve">Обавезно је обезбеђивање услова за санитарно прикупљање и депоновање отпада и његово одвожење на депонију на коју се одвози отпад са територије општине Ражањ у складу са стартешким документима и Планом управљања отпадом; </w:t>
      </w:r>
      <w:r>
        <w:rPr>
          <w:szCs w:val="24"/>
        </w:rPr>
        <w:t>на парцелама предвидети простор за постављање посуда за одлагање комуналног отпада, као и отпада насталог у процесу производње (инертног отпада, опасног отпада и др. у складу са законаским прописима).</w:t>
      </w:r>
    </w:p>
    <w:p>
      <w:pPr>
        <w:pStyle w:val="Normal"/>
        <w:numPr>
          <w:ilvl w:val="0"/>
          <w:numId w:val="14"/>
        </w:numPr>
        <w:suppressAutoHyphens w:val="false"/>
        <w:ind w:left="0" w:hanging="0"/>
        <w:rPr>
          <w:rFonts w:ascii="Times New Roman" w:hAnsi="Times New Roman"/>
        </w:rPr>
      </w:pPr>
      <w:r>
        <w:rPr>
          <w:rFonts w:eastAsia="TimesNewRomanPSMT"/>
          <w:szCs w:val="24"/>
        </w:rPr>
        <w:t xml:space="preserve">Обавезно је обезбеђивање највишег </w:t>
      </w:r>
      <w:r>
        <w:rPr>
          <w:rFonts w:eastAsia="Times New Roman"/>
          <w:bCs/>
          <w:szCs w:val="24"/>
        </w:rPr>
        <w:t>ниво</w:t>
      </w:r>
      <w:r>
        <w:rPr>
          <w:rFonts w:eastAsia="Times New Roman"/>
          <w:bCs/>
          <w:szCs w:val="24"/>
          <w:lang w:val="sr-RS"/>
        </w:rPr>
        <w:t>а</w:t>
      </w:r>
      <w:r>
        <w:rPr>
          <w:rFonts w:eastAsia="Times New Roman"/>
          <w:bCs/>
          <w:szCs w:val="24"/>
        </w:rPr>
        <w:t xml:space="preserve"> комуналне хигијене спречавањем неадекватног депоновања отпада и формирања дивљих депонија,</w:t>
      </w:r>
    </w:p>
    <w:p>
      <w:pPr>
        <w:pStyle w:val="Normal"/>
        <w:numPr>
          <w:ilvl w:val="0"/>
          <w:numId w:val="14"/>
        </w:numPr>
        <w:suppressAutoHyphens w:val="false"/>
        <w:ind w:left="0" w:hanging="0"/>
        <w:rPr>
          <w:rFonts w:ascii="Times New Roman" w:hAnsi="Times New Roman"/>
        </w:rPr>
      </w:pPr>
      <w:r>
        <w:rPr>
          <w:bCs/>
          <w:szCs w:val="24"/>
        </w:rPr>
        <w:t>Потенцирање и стимулисање разврставања комуналног отпада од стране локалног становништва на месту одлагања;</w:t>
      </w:r>
    </w:p>
    <w:p>
      <w:pPr>
        <w:pStyle w:val="Normal"/>
        <w:ind w:firstLine="360"/>
        <w:rPr>
          <w:rFonts w:ascii="Times New Roman" w:hAnsi="Times New Roman"/>
        </w:rPr>
      </w:pPr>
      <w:r>
        <w:rPr>
          <w:szCs w:val="24"/>
        </w:rPr>
        <w:t>У складу са тим, обезбедити одговарајући начин прикупљања и поступања са отпадним материјама и материјалима из комплекса ППОВ у складу са важећим прописима којима се уређује поступање са овом врстом отпада; изградити посебне објекте и обезбедити затворене просторе и посуде на водонепропусним површинама, ради одвојеног сакупљања и привременог складиштења, и то:</w:t>
      </w:r>
    </w:p>
    <w:p>
      <w:pPr>
        <w:pStyle w:val="Normal"/>
        <w:numPr>
          <w:ilvl w:val="0"/>
          <w:numId w:val="17"/>
        </w:numPr>
        <w:suppressAutoHyphens w:val="false"/>
        <w:ind w:left="0" w:hanging="0"/>
        <w:rPr>
          <w:rFonts w:ascii="Times New Roman" w:hAnsi="Times New Roman"/>
        </w:rPr>
      </w:pPr>
      <w:r>
        <w:rPr>
          <w:szCs w:val="24"/>
        </w:rPr>
        <w:t>затворени контејнер за отпад са грубе и фине решетке,</w:t>
      </w:r>
    </w:p>
    <w:p>
      <w:pPr>
        <w:pStyle w:val="Normal"/>
        <w:numPr>
          <w:ilvl w:val="0"/>
          <w:numId w:val="17"/>
        </w:numPr>
        <w:suppressAutoHyphens w:val="false"/>
        <w:ind w:left="0" w:hanging="0"/>
        <w:rPr>
          <w:rFonts w:ascii="Times New Roman" w:hAnsi="Times New Roman"/>
        </w:rPr>
      </w:pPr>
      <w:r>
        <w:rPr>
          <w:szCs w:val="24"/>
        </w:rPr>
        <w:t>контејнер/силос за отпадни песак,</w:t>
      </w:r>
    </w:p>
    <w:p>
      <w:pPr>
        <w:pStyle w:val="Normal"/>
        <w:numPr>
          <w:ilvl w:val="0"/>
          <w:numId w:val="17"/>
        </w:numPr>
        <w:suppressAutoHyphens w:val="false"/>
        <w:ind w:left="0" w:hanging="0"/>
        <w:rPr>
          <w:rFonts w:ascii="Times New Roman" w:hAnsi="Times New Roman"/>
        </w:rPr>
      </w:pPr>
      <w:r>
        <w:rPr>
          <w:szCs w:val="24"/>
        </w:rPr>
        <w:t>затворени објекат за пречишћени отпадни муљ,</w:t>
      </w:r>
    </w:p>
    <w:p>
      <w:pPr>
        <w:pStyle w:val="Normal"/>
        <w:numPr>
          <w:ilvl w:val="0"/>
          <w:numId w:val="17"/>
        </w:numPr>
        <w:suppressAutoHyphens w:val="false"/>
        <w:ind w:left="0" w:hanging="0"/>
        <w:rPr>
          <w:rFonts w:ascii="Times New Roman" w:hAnsi="Times New Roman"/>
        </w:rPr>
      </w:pPr>
      <w:r>
        <w:rPr>
          <w:szCs w:val="24"/>
        </w:rPr>
        <w:t xml:space="preserve">контејнер/објекат за амбалажни отпад (од хемикалија и сл) у складу са Законом о амбалажи и амбалажном отпаду („Службени гласник РС“, број 36/09 </w:t>
      </w:r>
      <w:r>
        <w:rPr>
          <w:szCs w:val="24"/>
          <w:lang w:val="sr-RS"/>
        </w:rPr>
        <w:t>и 95/2018 – др. закон</w:t>
      </w:r>
      <w:r>
        <w:rPr>
          <w:szCs w:val="24"/>
        </w:rPr>
        <w:t>),</w:t>
      </w:r>
    </w:p>
    <w:p>
      <w:pPr>
        <w:pStyle w:val="Normal"/>
        <w:numPr>
          <w:ilvl w:val="0"/>
          <w:numId w:val="17"/>
        </w:numPr>
        <w:suppressAutoHyphens w:val="false"/>
        <w:ind w:left="0" w:hanging="0"/>
        <w:rPr>
          <w:rFonts w:ascii="Times New Roman" w:hAnsi="Times New Roman"/>
        </w:rPr>
      </w:pPr>
      <w:r>
        <w:rPr>
          <w:szCs w:val="24"/>
        </w:rPr>
        <w:t xml:space="preserve">контејнере за неопасни отпад (комунални отпад, рециклабилни отпад – папир, стакло, лименке, ПВЦ боце и сл), </w:t>
      </w:r>
      <w:r>
        <w:rPr>
          <w:szCs w:val="24"/>
          <w:lang w:val="ru-RU"/>
        </w:rPr>
        <w:t>до предаје правном лицу које је овлашћено, односно које има дозволу за управљање наведеним врстама отпада;</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Приступ судовима за смеће мора бити неометан, тако да подлога за гурање контејнера мора бити од чврстог материјала без иједног степеника и са највећим нагибом до 2%. Ако су контејнери запремине 1100 литара заједнички – сабирни поставити их на бетонираним површинама од 2m</w:t>
      </w:r>
      <w:r>
        <w:rPr>
          <w:rFonts w:eastAsia="Times New Roman"/>
          <w:szCs w:val="24"/>
          <w:vertAlign w:val="superscript"/>
          <w:lang w:val="sr-Latn-CS"/>
        </w:rPr>
        <w:t>2</w:t>
      </w:r>
      <w:r>
        <w:rPr>
          <w:rFonts w:eastAsia="Times New Roman"/>
          <w:szCs w:val="24"/>
          <w:lang w:val="sr-Latn-CS"/>
        </w:rPr>
        <w:t xml:space="preserve"> </w:t>
      </w:r>
      <w:r>
        <w:rPr>
          <w:rFonts w:eastAsia="Times New Roman"/>
          <w:szCs w:val="24"/>
        </w:rPr>
        <w:t xml:space="preserve">за сваки и са падом максимално 2% у нивоу коловоза ради могућег гурања. Пожељно је да буду визуелно сакривени зеленилом или на други начин. Максимално удаљење контејнера од улаза у припадајући не сме бити веће од 25,0 m, а минимално 5,0 m, при чему је максимално ручно гурање 15,0 m. </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За депоновање отпада који може да се рециклира, нпр. папира, картонске амбалаже, ПЕТ амбалаже и сл., ради вршења рециклаже, препорука је набавка суда од 5m</w:t>
      </w:r>
      <w:r>
        <w:rPr>
          <w:rFonts w:eastAsia="Times New Roman"/>
          <w:szCs w:val="24"/>
          <w:lang w:val="sr-Latn-CS"/>
        </w:rPr>
        <w:t>³</w:t>
      </w:r>
      <w:r>
        <w:rPr>
          <w:rFonts w:eastAsia="Times New Roman"/>
          <w:szCs w:val="24"/>
        </w:rPr>
        <w:t xml:space="preserve">, и поставити их у складу са напред наведеним нормативима.  у погледу удаљености и нагиба. </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 xml:space="preserve">Потребно је обезбедити директан и несметан приступ возила површини за контејнере. </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У случају генерисања опасних и штетних отпадних материја, забрањује се да се исте одлажу у посуде и контејнере за одлагање комуналног и осталог инертног отпада. Складиштење опасног отпада организовати у оквиру радних површина постојећих и новопланираних привредних објеката (у посебним магацинским просторима, изолованим од радног особља, у херметички затвореним бурадима), а њихов даљи транспорт ће вршити искључиво правна и физичка лица овлашћена за поступање са овим врстом отпада</w:t>
      </w:r>
      <w:r>
        <w:rPr>
          <w:rFonts w:eastAsia="Times New Roman"/>
          <w:szCs w:val="24"/>
          <w:lang w:val="ru-RU"/>
        </w:rPr>
        <w:t xml:space="preserve"> (у складу са одредбама </w:t>
      </w:r>
      <w:r>
        <w:rPr>
          <w:rFonts w:eastAsia="Times New Roman"/>
          <w:szCs w:val="24"/>
          <w:lang w:val="sr-RS"/>
        </w:rPr>
        <w:t xml:space="preserve">Правилника о начину складиштења, паковања и обележавања опасног отпада </w:t>
      </w:r>
      <w:r>
        <w:rPr>
          <w:rFonts w:eastAsia="Times New Roman"/>
          <w:szCs w:val="24"/>
          <w:lang w:val="ru-RU"/>
        </w:rPr>
        <w:t>(“Сл. гласник РС“, бр</w:t>
      </w:r>
      <w:r>
        <w:rPr>
          <w:rFonts w:eastAsia="Times New Roman"/>
          <w:szCs w:val="24"/>
          <w:lang w:val="sr-RS"/>
        </w:rPr>
        <w:t xml:space="preserve"> 92/10 и 77/21).</w:t>
      </w:r>
    </w:p>
    <w:p>
      <w:pPr>
        <w:pStyle w:val="Normal"/>
        <w:tabs>
          <w:tab w:val="clear" w:pos="720"/>
          <w:tab w:val="left" w:pos="426" w:leader="none"/>
        </w:tabs>
        <w:suppressAutoHyphens w:val="false"/>
        <w:textAlignment w:val="center"/>
        <w:rPr>
          <w:rFonts w:ascii="Times New Roman" w:hAnsi="Times New Roman"/>
        </w:rPr>
      </w:pPr>
      <w:r>
        <w:rPr>
          <w:rFonts w:eastAsia="Times New Roman"/>
          <w:szCs w:val="24"/>
        </w:rPr>
        <w:tab/>
        <w:t xml:space="preserve">Грађевински отпад који може да настане приликом реализације инфраструктурних инсталација, саобраћајница и осталих објеката, обавезно је уредно прикупити на локацији, разврстати и класирати по карактеру и пореклу, до момента преузимања од стране Јавног комуналног предузећа. </w:t>
      </w:r>
    </w:p>
    <w:p>
      <w:pPr>
        <w:pStyle w:val="Normal"/>
        <w:tabs>
          <w:tab w:val="clear" w:pos="720"/>
          <w:tab w:val="left" w:pos="1440" w:leader="none"/>
        </w:tabs>
        <w:suppressAutoHyphens w:val="false"/>
        <w:textAlignment w:val="center"/>
        <w:rPr>
          <w:rFonts w:ascii="Times New Roman" w:hAnsi="Times New Roman" w:eastAsia="Times New Roman"/>
          <w:color w:val="00B0F0"/>
          <w:szCs w:val="24"/>
        </w:rPr>
      </w:pPr>
      <w:r>
        <w:rPr>
          <w:rFonts w:eastAsia="Times New Roman"/>
          <w:color w:val="00B0F0"/>
          <w:szCs w:val="24"/>
        </w:rPr>
      </w:r>
    </w:p>
    <w:p>
      <w:pPr>
        <w:pStyle w:val="Normal"/>
        <w:tabs>
          <w:tab w:val="clear" w:pos="720"/>
          <w:tab w:val="left" w:pos="1440" w:leader="none"/>
        </w:tabs>
        <w:suppressAutoHyphens w:val="false"/>
        <w:textAlignment w:val="center"/>
        <w:rPr>
          <w:rFonts w:ascii="Times New Roman" w:hAnsi="Times New Roman"/>
        </w:rPr>
      </w:pPr>
      <w:r>
        <w:rPr>
          <w:rFonts w:eastAsia="Times New Roman"/>
          <w:b/>
          <w:i/>
          <w:szCs w:val="24"/>
          <w:lang w:val="sr-RS"/>
        </w:rPr>
        <w:t>--</w:t>
      </w:r>
      <w:r>
        <w:rPr>
          <w:rFonts w:eastAsia="Times New Roman"/>
          <w:b/>
          <w:i/>
          <w:szCs w:val="24"/>
        </w:rPr>
        <w:t>Мере заштите од буке</w:t>
      </w:r>
      <w:r>
        <w:rPr>
          <w:rFonts w:eastAsia="Times New Roman"/>
          <w:b/>
          <w:i/>
          <w:szCs w:val="24"/>
          <w:lang w:val="ru-RU"/>
        </w:rPr>
        <w:t xml:space="preserve"> </w:t>
      </w:r>
      <w:r>
        <w:rPr>
          <w:rFonts w:eastAsia="Times New Roman"/>
          <w:b/>
          <w:i/>
          <w:szCs w:val="24"/>
        </w:rPr>
        <w:t>и вибрација</w:t>
      </w:r>
      <w:bookmarkStart w:id="43" w:name="_Hlk153358121"/>
      <w:bookmarkEnd w:id="43"/>
    </w:p>
    <w:p>
      <w:pPr>
        <w:pStyle w:val="Normal"/>
        <w:tabs>
          <w:tab w:val="clear" w:pos="720"/>
          <w:tab w:val="left" w:pos="709" w:leader="none"/>
        </w:tabs>
        <w:rPr>
          <w:rFonts w:ascii="Times New Roman" w:hAnsi="Times New Roman"/>
        </w:rPr>
      </w:pPr>
      <w:r>
        <w:rPr>
          <w:szCs w:val="24"/>
        </w:rPr>
        <w:tab/>
        <w:t>Заштиту од буке обезбедити:</w:t>
      </w:r>
    </w:p>
    <w:p>
      <w:pPr>
        <w:pStyle w:val="Normal"/>
        <w:numPr>
          <w:ilvl w:val="0"/>
          <w:numId w:val="17"/>
        </w:numPr>
        <w:suppressAutoHyphens w:val="false"/>
        <w:ind w:left="0" w:hanging="0"/>
        <w:rPr>
          <w:rFonts w:ascii="Times New Roman" w:hAnsi="Times New Roman"/>
        </w:rPr>
      </w:pPr>
      <w:r>
        <w:rPr>
          <w:szCs w:val="24"/>
        </w:rPr>
        <w:t xml:space="preserve">применом одговарајућих грађевинских и техничких мера за заштиту од буке, у радној средини и околини постројења за пречишћавање отпадних вода, којом се обезбеђује да бука емитована током функционисања истог не прекорачује прописане граничне вредности у складу са Законом о заштити од буке у животној средини („Сл. гласник РС“, број </w:t>
      </w:r>
      <w:r>
        <w:rPr>
          <w:rFonts w:eastAsia="" w:cs="Times New Roman" w:eastAsiaTheme="minorEastAsia"/>
          <w:color w:val="auto"/>
          <w:kern w:val="0"/>
          <w:sz w:val="24"/>
          <w:szCs w:val="24"/>
          <w:lang w:val="sr-RS" w:eastAsia="en-US" w:bidi="ar-SA"/>
        </w:rPr>
        <w:t>96/2021</w:t>
      </w:r>
      <w:r>
        <w:rPr>
          <w:szCs w:val="24"/>
        </w:rPr>
        <w:t xml:space="preserve">) и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број 75/10); </w:t>
      </w:r>
    </w:p>
    <w:p>
      <w:pPr>
        <w:pStyle w:val="Normal"/>
        <w:suppressAutoHyphens w:val="false"/>
        <w:rPr>
          <w:rFonts w:ascii="Times New Roman" w:hAnsi="Times New Roman"/>
          <w:szCs w:val="24"/>
        </w:rPr>
      </w:pPr>
      <w:r>
        <w:rPr>
          <w:szCs w:val="24"/>
        </w:rPr>
      </w:r>
    </w:p>
    <w:p>
      <w:pPr>
        <w:pStyle w:val="Normal"/>
        <w:widowControl w:val="false"/>
        <w:tabs>
          <w:tab w:val="left" w:pos="720" w:leader="none"/>
        </w:tabs>
        <w:suppressAutoHyphens w:val="false"/>
        <w:rPr>
          <w:rFonts w:ascii="Times New Roman" w:hAnsi="Times New Roman"/>
        </w:rPr>
      </w:pPr>
      <w:r>
        <w:rPr>
          <w:b/>
          <w:i/>
          <w:szCs w:val="24"/>
          <w:lang w:val="sr-RS"/>
        </w:rPr>
        <w:t>--</w:t>
      </w:r>
      <w:r>
        <w:rPr>
          <w:b/>
          <w:i/>
          <w:szCs w:val="24"/>
        </w:rPr>
        <w:t xml:space="preserve">Мере заштите од зрачења </w:t>
      </w:r>
      <w:bookmarkStart w:id="44" w:name="_Hlk153358135"/>
      <w:bookmarkEnd w:id="44"/>
    </w:p>
    <w:p>
      <w:pPr>
        <w:pStyle w:val="Normal"/>
        <w:rPr>
          <w:rFonts w:ascii="Times New Roman" w:hAnsi="Times New Roman"/>
        </w:rPr>
      </w:pPr>
      <w:r>
        <w:rPr>
          <w:i/>
          <w:szCs w:val="24"/>
        </w:rPr>
        <w:t>Заштита од зрачења</w:t>
      </w:r>
      <w:r>
        <w:rPr>
          <w:szCs w:val="24"/>
        </w:rPr>
        <w:t xml:space="preserve"> спроводиће се уз примену законских и подзаконских мера заштите којима се спречава угрожавање животне средине и здравље људи од дејства зрачења која потичу од јонизујућих и нејонизујућих извора и отклањају последица емисија које извори зрачења емитују или могу да емитују. </w:t>
      </w:r>
    </w:p>
    <w:p>
      <w:pPr>
        <w:pStyle w:val="Normal"/>
        <w:rPr>
          <w:rFonts w:ascii="Times New Roman" w:hAnsi="Times New Roman"/>
        </w:rPr>
      </w:pPr>
      <w:r>
        <w:rPr>
          <w:szCs w:val="24"/>
          <w:u w:val="single"/>
        </w:rPr>
        <w:t>Заштита од јонизујућег зрачења</w:t>
      </w:r>
    </w:p>
    <w:p>
      <w:pPr>
        <w:pStyle w:val="Normal"/>
        <w:numPr>
          <w:ilvl w:val="0"/>
          <w:numId w:val="12"/>
        </w:numPr>
        <w:ind w:left="0" w:hanging="0"/>
        <w:rPr>
          <w:rFonts w:ascii="Times New Roman" w:hAnsi="Times New Roman"/>
        </w:rPr>
      </w:pPr>
      <w:r>
        <w:rPr>
          <w:szCs w:val="24"/>
        </w:rPr>
        <w:t xml:space="preserve">На планском подручју нема постојећих нити је дозвољено постављање нових извора јонизујућег зачења. </w:t>
      </w:r>
    </w:p>
    <w:p>
      <w:pPr>
        <w:pStyle w:val="Normal"/>
        <w:rPr>
          <w:rFonts w:ascii="Times New Roman" w:hAnsi="Times New Roman"/>
        </w:rPr>
      </w:pPr>
      <w:r>
        <w:rPr>
          <w:szCs w:val="24"/>
          <w:u w:val="single"/>
        </w:rPr>
        <w:t>Заштита од нејонизујућег зрачења</w:t>
      </w:r>
    </w:p>
    <w:p>
      <w:pPr>
        <w:pStyle w:val="Normal"/>
        <w:rPr>
          <w:rFonts w:ascii="Times New Roman" w:hAnsi="Times New Roman"/>
        </w:rPr>
      </w:pPr>
      <w:r>
        <w:rPr>
          <w:szCs w:val="24"/>
        </w:rPr>
        <w:t>Трансформаторску станицу пројектовати и изградити у складу са важећим нормама и стандардима прописаним за ту врсту објеката, а нарочито:</w:t>
      </w:r>
    </w:p>
    <w:p>
      <w:pPr>
        <w:pStyle w:val="Normal"/>
        <w:numPr>
          <w:ilvl w:val="0"/>
          <w:numId w:val="17"/>
        </w:numPr>
        <w:suppressAutoHyphens w:val="false"/>
        <w:ind w:left="0" w:hanging="0"/>
        <w:rPr>
          <w:rFonts w:ascii="Times New Roman" w:hAnsi="Times New Roman"/>
        </w:rPr>
      </w:pPr>
      <w:r>
        <w:rPr>
          <w:szCs w:val="24"/>
        </w:rPr>
        <w:t>одговарајућим техничким и оперативним мерама обезбедити да нивои излагања становништва нејонизујућим зрачењима, након изградње трафостаница, не прелазе референтне граничне нивое излагања електричним, магнетским и електромагнетским пољима, у складу са Правилником о границама излагања нејонизујућим зрачењима („Службени гласник РС“, број 104/09), и то: вредност јачине електричног поља (Е) не прелази 2 кV/m, а вредност густине магнетског флукса (В) не прелази 40 µT,</w:t>
      </w:r>
    </w:p>
    <w:p>
      <w:pPr>
        <w:pStyle w:val="Normal"/>
        <w:numPr>
          <w:ilvl w:val="0"/>
          <w:numId w:val="17"/>
        </w:numPr>
        <w:suppressAutoHyphens w:val="false"/>
        <w:ind w:left="0" w:hanging="0"/>
        <w:rPr>
          <w:rFonts w:ascii="Times New Roman" w:hAnsi="Times New Roman"/>
        </w:rPr>
      </w:pPr>
      <w:r>
        <w:rPr>
          <w:szCs w:val="24"/>
        </w:rPr>
        <w:t>обезбедити одговарајућу заштиту подземних вода постављањем непропусне танкване за прихват опасних материја из трансформатора трафостанице; капацитет танкване одредити у складу са укупном количином трансформаторског уља садржаног у трансформатору,</w:t>
      </w:r>
    </w:p>
    <w:p>
      <w:pPr>
        <w:pStyle w:val="Normal"/>
        <w:numPr>
          <w:ilvl w:val="0"/>
          <w:numId w:val="17"/>
        </w:numPr>
        <w:suppressAutoHyphens w:val="false"/>
        <w:ind w:left="0" w:hanging="0"/>
        <w:rPr>
          <w:rFonts w:ascii="Times New Roman" w:hAnsi="Times New Roman"/>
        </w:rPr>
      </w:pPr>
      <w:r>
        <w:rPr>
          <w:szCs w:val="24"/>
        </w:rPr>
        <w:t>није дозвољена уградња трансформатора који садржи полихлороване бифениле (PCB),</w:t>
      </w:r>
    </w:p>
    <w:p>
      <w:pPr>
        <w:pStyle w:val="Normal"/>
        <w:numPr>
          <w:ilvl w:val="0"/>
          <w:numId w:val="17"/>
        </w:numPr>
        <w:suppressAutoHyphens w:val="false"/>
        <w:ind w:left="0" w:hanging="0"/>
        <w:rPr>
          <w:rFonts w:ascii="Times New Roman" w:hAnsi="Times New Roman"/>
        </w:rPr>
      </w:pPr>
      <w:r>
        <w:rPr>
          <w:szCs w:val="24"/>
        </w:rPr>
        <w:t xml:space="preserve">након изградње трансформаторске станице извршити: (1) прво испитивање, односно мерење: нивоа електричног поља и густине магнетског флукса, односно мерење нивоа буке у околини трансформаторске станице, пре издавања употребне дозволе за исту, (2) периодична испитивања у складу са законом и (3) достављање података и документације о извршеним испитивањима нејонизујућег зрачења и мерењима нивоа буке надлежном органу у року од 15 дана од дана извршеног мерења. </w:t>
      </w:r>
    </w:p>
    <w:p>
      <w:pPr>
        <w:pStyle w:val="Normal"/>
        <w:suppressAutoHyphens w:val="false"/>
        <w:jc w:val="left"/>
        <w:rPr>
          <w:rFonts w:ascii="Times New Roman" w:hAnsi="Times New Roman" w:eastAsia="Calibri" w:eastAsiaTheme="minorHAnsi"/>
          <w:b/>
          <w:b/>
          <w:bCs/>
          <w:color w:val="00B0F0"/>
          <w:szCs w:val="24"/>
        </w:rPr>
      </w:pPr>
      <w:r>
        <w:rPr>
          <w:rFonts w:eastAsia="Calibri" w:eastAsiaTheme="minorHAnsi"/>
          <w:b/>
          <w:bCs/>
          <w:color w:val="00B0F0"/>
          <w:szCs w:val="24"/>
        </w:rPr>
      </w:r>
    </w:p>
    <w:p>
      <w:pPr>
        <w:pStyle w:val="Normal"/>
        <w:suppressAutoHyphens w:val="false"/>
        <w:ind w:firstLine="426"/>
        <w:jc w:val="left"/>
        <w:rPr>
          <w:rFonts w:ascii="Times New Roman" w:hAnsi="Times New Roman"/>
        </w:rPr>
      </w:pPr>
      <w:r>
        <w:rPr>
          <w:rFonts w:eastAsia="Calibri" w:eastAsiaTheme="minorHAnsi"/>
          <w:b/>
          <w:bCs/>
          <w:szCs w:val="24"/>
        </w:rPr>
        <w:t xml:space="preserve">6.2. </w:t>
      </w:r>
      <w:r>
        <w:rPr>
          <w:rFonts w:eastAsia="SimSun"/>
          <w:b/>
          <w:bCs/>
          <w:szCs w:val="24"/>
          <w:lang w:val="en-GB"/>
        </w:rPr>
        <w:t>Услови и мере заштите природних добара</w:t>
      </w:r>
      <w:r>
        <w:rPr>
          <w:rFonts w:eastAsia="SimSun"/>
          <w:b/>
          <w:bCs/>
          <w:szCs w:val="24"/>
        </w:rPr>
        <w:t xml:space="preserve">  </w:t>
      </w:r>
    </w:p>
    <w:p>
      <w:pPr>
        <w:pStyle w:val="Normal"/>
        <w:tabs>
          <w:tab w:val="clear" w:pos="720"/>
          <w:tab w:val="left" w:pos="426" w:leader="none"/>
        </w:tabs>
        <w:ind w:firstLine="426"/>
        <w:rPr>
          <w:rFonts w:ascii="Times New Roman" w:hAnsi="Times New Roman"/>
        </w:rPr>
      </w:pPr>
      <w:r>
        <w:rPr>
          <w:rFonts w:eastAsia="Calibri"/>
          <w:i/>
          <w:iCs/>
          <w:szCs w:val="24"/>
        </w:rPr>
        <w:t>УСЛОВИ „Завода за заштиту природе Србије“, 03 бр. 021-39</w:t>
      </w:r>
      <w:r>
        <w:rPr>
          <w:rFonts w:eastAsia="Calibri"/>
          <w:i/>
          <w:iCs/>
          <w:szCs w:val="24"/>
          <w:lang w:val="sr-RS"/>
        </w:rPr>
        <w:t>29</w:t>
      </w:r>
      <w:r>
        <w:rPr>
          <w:rFonts w:eastAsia="Calibri"/>
          <w:i/>
          <w:iCs/>
          <w:szCs w:val="24"/>
        </w:rPr>
        <w:t xml:space="preserve">/2, од </w:t>
      </w:r>
      <w:r>
        <w:rPr>
          <w:rFonts w:eastAsia="Calibri"/>
          <w:i/>
          <w:iCs/>
          <w:szCs w:val="24"/>
          <w:lang w:val="sr-RS"/>
        </w:rPr>
        <w:t>16</w:t>
      </w:r>
      <w:r>
        <w:rPr>
          <w:rFonts w:eastAsia="Calibri"/>
          <w:i/>
          <w:iCs/>
          <w:szCs w:val="24"/>
        </w:rPr>
        <w:t>.11.202</w:t>
      </w:r>
      <w:r>
        <w:rPr>
          <w:rFonts w:eastAsia="Calibri"/>
          <w:i/>
          <w:iCs/>
          <w:szCs w:val="24"/>
          <w:lang w:val="sr-RS"/>
        </w:rPr>
        <w:t>3</w:t>
      </w:r>
      <w:r>
        <w:rPr>
          <w:rFonts w:eastAsia="Calibri"/>
          <w:i/>
          <w:iCs/>
          <w:szCs w:val="24"/>
        </w:rPr>
        <w:t xml:space="preserve">. године </w:t>
      </w:r>
    </w:p>
    <w:p>
      <w:pPr>
        <w:pStyle w:val="Normal"/>
        <w:rPr>
          <w:rFonts w:ascii="Times New Roman" w:hAnsi="Times New Roman"/>
          <w:szCs w:val="24"/>
          <w:lang w:val="ru-RU"/>
        </w:rPr>
      </w:pPr>
      <w:r>
        <w:rPr>
          <w:szCs w:val="24"/>
          <w:lang w:val="ru-RU"/>
        </w:rPr>
      </w:r>
    </w:p>
    <w:p>
      <w:pPr>
        <w:pStyle w:val="Normal"/>
        <w:tabs>
          <w:tab w:val="clear" w:pos="720"/>
          <w:tab w:val="left" w:pos="426" w:leader="none"/>
        </w:tabs>
        <w:ind w:firstLine="426"/>
        <w:rPr>
          <w:rFonts w:ascii="Times New Roman" w:hAnsi="Times New Roman"/>
        </w:rPr>
      </w:pPr>
      <w:r>
        <w:rPr>
          <w:bCs/>
          <w:szCs w:val="24"/>
          <w:lang w:eastAsia="ar-SA"/>
        </w:rPr>
        <w:t xml:space="preserve">Према Условима </w:t>
      </w:r>
      <w:r>
        <w:rPr>
          <w:rFonts w:eastAsia="Calibri"/>
          <w:szCs w:val="24"/>
        </w:rPr>
        <w:t xml:space="preserve">„Завода за заштиту природе Србије“, </w:t>
      </w:r>
      <w:r>
        <w:rPr>
          <w:rFonts w:eastAsia="Calibri"/>
          <w:i/>
          <w:iCs/>
          <w:szCs w:val="24"/>
        </w:rPr>
        <w:t>03 бр. 021-39</w:t>
      </w:r>
      <w:r>
        <w:rPr>
          <w:rFonts w:eastAsia="Calibri"/>
          <w:i/>
          <w:iCs/>
          <w:szCs w:val="24"/>
          <w:lang w:val="sr-RS"/>
        </w:rPr>
        <w:t>29</w:t>
      </w:r>
      <w:r>
        <w:rPr>
          <w:rFonts w:eastAsia="Calibri"/>
          <w:i/>
          <w:iCs/>
          <w:szCs w:val="24"/>
        </w:rPr>
        <w:t xml:space="preserve">/2, од </w:t>
      </w:r>
      <w:r>
        <w:rPr>
          <w:rFonts w:eastAsia="Calibri"/>
          <w:i/>
          <w:iCs/>
          <w:szCs w:val="24"/>
          <w:lang w:val="sr-RS"/>
        </w:rPr>
        <w:t>16</w:t>
      </w:r>
      <w:r>
        <w:rPr>
          <w:rFonts w:eastAsia="Calibri"/>
          <w:i/>
          <w:iCs/>
          <w:szCs w:val="24"/>
        </w:rPr>
        <w:t>.11.202</w:t>
      </w:r>
      <w:r>
        <w:rPr>
          <w:rFonts w:eastAsia="Calibri"/>
          <w:i/>
          <w:iCs/>
          <w:szCs w:val="24"/>
          <w:lang w:val="sr-RS"/>
        </w:rPr>
        <w:t>3</w:t>
      </w:r>
      <w:r>
        <w:rPr>
          <w:rFonts w:eastAsia="Calibri"/>
          <w:i/>
          <w:iCs/>
          <w:szCs w:val="24"/>
        </w:rPr>
        <w:t>. г</w:t>
      </w:r>
      <w:r>
        <w:rPr>
          <w:rFonts w:eastAsia="Calibri"/>
          <w:i/>
          <w:iCs/>
          <w:szCs w:val="24"/>
          <w:lang w:val="sr-RS"/>
        </w:rPr>
        <w:t xml:space="preserve">. </w:t>
      </w:r>
    </w:p>
    <w:p>
      <w:pPr>
        <w:pStyle w:val="Normal"/>
        <w:rPr>
          <w:rFonts w:ascii="Times New Roman" w:hAnsi="Times New Roman"/>
        </w:rPr>
      </w:pPr>
      <w:r>
        <w:rPr>
          <w:bCs/>
          <w:szCs w:val="24"/>
          <w:lang w:eastAsia="ar-SA"/>
        </w:rPr>
        <w:t xml:space="preserve">простор </w:t>
      </w:r>
      <w:r>
        <w:rPr>
          <w:bCs/>
          <w:szCs w:val="24"/>
          <w:lang w:val="ru-RU"/>
        </w:rPr>
        <w:t>Плана детаљне регулације за постројењ</w:t>
      </w:r>
      <w:r>
        <w:rPr>
          <w:bCs/>
          <w:szCs w:val="24"/>
        </w:rPr>
        <w:t>е</w:t>
      </w:r>
      <w:r>
        <w:rPr>
          <w:bCs/>
          <w:szCs w:val="24"/>
          <w:lang w:val="ru-RU"/>
        </w:rPr>
        <w:t xml:space="preserve"> за пречишћавање оптадних вода насеља Витошевац</w:t>
      </w:r>
      <w:r>
        <w:rPr>
          <w:bCs/>
          <w:szCs w:val="24"/>
        </w:rPr>
        <w:t xml:space="preserve"> </w:t>
      </w:r>
      <w:r>
        <w:rPr>
          <w:bCs/>
          <w:szCs w:val="24"/>
          <w:lang w:val="ru-RU"/>
        </w:rPr>
        <w:t>не налази се унутар заштићеног продручја за које је спроведен или покренут поступак заштите, нити простор обухвата значајна подручја еколошке мреже Републике Србијем Сходно томе одређују</w:t>
      </w:r>
      <w:r>
        <w:rPr>
          <w:bCs/>
          <w:szCs w:val="24"/>
          <w:lang w:val="sr-RS"/>
        </w:rPr>
        <w:t xml:space="preserve"> се</w:t>
      </w:r>
      <w:r>
        <w:rPr>
          <w:bCs/>
          <w:szCs w:val="24"/>
          <w:lang w:val="sr-Latn-RS"/>
        </w:rPr>
        <w:t xml:space="preserve"> </w:t>
      </w:r>
      <w:r>
        <w:rPr>
          <w:bCs/>
          <w:szCs w:val="24"/>
          <w:lang w:val="ru-RU"/>
        </w:rPr>
        <w:t>следећи услови заштите природе:</w:t>
      </w:r>
    </w:p>
    <w:p>
      <w:pPr>
        <w:pStyle w:val="Normal"/>
        <w:numPr>
          <w:ilvl w:val="0"/>
          <w:numId w:val="35"/>
        </w:numPr>
        <w:rPr>
          <w:rFonts w:ascii="Times New Roman" w:hAnsi="Times New Roman"/>
        </w:rPr>
      </w:pPr>
      <w:r>
        <w:rPr>
          <w:bCs/>
          <w:szCs w:val="24"/>
          <w:lang w:val="ru-RU"/>
        </w:rPr>
        <w:t>Предметни радови не смеју довести до битних промена морфологије терена и настанка и развоја инжењерскогеолошких процеса и појава.</w:t>
      </w:r>
    </w:p>
    <w:p>
      <w:pPr>
        <w:pStyle w:val="Normal"/>
        <w:numPr>
          <w:ilvl w:val="0"/>
          <w:numId w:val="35"/>
        </w:numPr>
        <w:rPr>
          <w:rFonts w:ascii="Times New Roman" w:hAnsi="Times New Roman"/>
        </w:rPr>
      </w:pPr>
      <w:r>
        <w:rPr>
          <w:bCs/>
          <w:szCs w:val="24"/>
          <w:lang w:val="ru-RU"/>
        </w:rPr>
        <w:t>Предвиђеним радовима није дозвољено угрожавање постојећих подземних хидрографских веза, као ни квалитативних карактеристика подземних вода.</w:t>
      </w:r>
    </w:p>
    <w:p>
      <w:pPr>
        <w:pStyle w:val="Normal"/>
        <w:numPr>
          <w:ilvl w:val="0"/>
          <w:numId w:val="35"/>
        </w:numPr>
        <w:rPr>
          <w:rFonts w:ascii="Times New Roman" w:hAnsi="Times New Roman"/>
        </w:rPr>
      </w:pPr>
      <w:r>
        <w:rPr>
          <w:bCs/>
          <w:szCs w:val="24"/>
          <w:lang w:val="ru-RU"/>
        </w:rPr>
        <w:t>Планом предвидети обавезу да се:</w:t>
      </w:r>
    </w:p>
    <w:p>
      <w:pPr>
        <w:pStyle w:val="Normal"/>
        <w:ind w:firstLine="360"/>
        <w:rPr>
          <w:rFonts w:ascii="Times New Roman" w:hAnsi="Times New Roman"/>
        </w:rPr>
      </w:pPr>
      <w:r>
        <w:rPr>
          <w:bCs/>
          <w:szCs w:val="24"/>
          <w:lang w:val="ru-RU"/>
        </w:rPr>
        <w:tab/>
        <w:t xml:space="preserve">-обуставе радови и обавести </w:t>
      </w:r>
      <w:r>
        <w:rPr>
          <w:rFonts w:eastAsia="Calibri"/>
          <w:szCs w:val="24"/>
        </w:rPr>
        <w:t>Завод за заштиту природе Србије</w:t>
      </w:r>
      <w:r>
        <w:rPr>
          <w:rFonts w:eastAsia="Calibri"/>
          <w:szCs w:val="24"/>
          <w:lang w:val="sr-RS"/>
        </w:rPr>
        <w:t>, уколико се при уклањању високе вегетације уоче гнезда птица пречника преко 0,5м,</w:t>
      </w:r>
    </w:p>
    <w:p>
      <w:pPr>
        <w:pStyle w:val="Normal"/>
        <w:ind w:firstLine="360"/>
        <w:rPr>
          <w:rFonts w:ascii="Times New Roman" w:hAnsi="Times New Roman"/>
        </w:rPr>
      </w:pPr>
      <w:r>
        <w:rPr>
          <w:rFonts w:eastAsia="Calibri"/>
          <w:szCs w:val="24"/>
          <w:lang w:val="sr-RS"/>
        </w:rPr>
        <w:tab/>
        <w:t>Време одлагања материјала неопходних за изградњу објеката максималноскратити, уколико може послужити као добро склониште за гмизавце и друге животиње, као и да се поштује услов да се безбедно врате у природу.</w:t>
      </w:r>
    </w:p>
    <w:p>
      <w:pPr>
        <w:pStyle w:val="Normal"/>
        <w:ind w:firstLine="360"/>
        <w:rPr>
          <w:rFonts w:ascii="Times New Roman" w:hAnsi="Times New Roman"/>
        </w:rPr>
      </w:pPr>
      <w:r>
        <w:rPr>
          <w:rFonts w:eastAsia="Calibri"/>
          <w:szCs w:val="24"/>
          <w:lang w:val="sr-RS"/>
        </w:rPr>
        <w:t>4) Лоцирање и распоред објеката постројења за пречишћавање отпадних вода извршити      тако да потреба за сечом стабала и уклањање вегетације буде минимална.</w:t>
      </w:r>
    </w:p>
    <w:p>
      <w:pPr>
        <w:pStyle w:val="Normal"/>
        <w:ind w:firstLine="360"/>
        <w:rPr>
          <w:rFonts w:ascii="Times New Roman" w:hAnsi="Times New Roman"/>
        </w:rPr>
      </w:pPr>
      <w:r>
        <w:rPr>
          <w:rFonts w:eastAsia="Calibri"/>
          <w:szCs w:val="24"/>
          <w:lang w:val="sr-RS"/>
        </w:rPr>
        <w:t>5) Планирати очување група стабала, појединачних стабала, као и других екосистема са очуваном или делимично измењеном вегетацијом. Посебно предвидети заштиту крајречне (приобалне) вегетације Велике реке с циљем очувања биолошке разноврсности. Уколико то није у потпуности могуће, сечу стабла свести на најмању могућу меру, а за коју је неопходно прибавити сагласност надлежних институција.</w:t>
      </w:r>
    </w:p>
    <w:p>
      <w:pPr>
        <w:pStyle w:val="Normal"/>
        <w:ind w:firstLine="360"/>
        <w:rPr>
          <w:rFonts w:ascii="Times New Roman" w:hAnsi="Times New Roman"/>
        </w:rPr>
      </w:pPr>
      <w:r>
        <w:rPr>
          <w:rFonts w:eastAsia="Calibri"/>
          <w:szCs w:val="24"/>
          <w:lang w:val="sr-RS"/>
        </w:rPr>
        <w:t>6) Планом дефинисати процентуални однос изграђеног и земљишта под зеленим површинама, како би се обезбедила проветреност подручја, побољшали микроклиматски услови, остварила повезаност зелених поршина са околином.</w:t>
      </w:r>
    </w:p>
    <w:p>
      <w:pPr>
        <w:pStyle w:val="Normal"/>
        <w:ind w:firstLine="360"/>
        <w:rPr>
          <w:rFonts w:ascii="Times New Roman" w:hAnsi="Times New Roman"/>
        </w:rPr>
      </w:pPr>
      <w:r>
        <w:rPr>
          <w:bCs/>
          <w:szCs w:val="24"/>
          <w:lang w:val="sr-RS"/>
        </w:rPr>
        <w:t xml:space="preserve">7) </w:t>
      </w:r>
      <w:r>
        <w:rPr>
          <w:bCs/>
          <w:szCs w:val="24"/>
          <w:lang w:val="ru-RU"/>
        </w:rPr>
        <w:t xml:space="preserve">Планирати адекватно озелењавање прилагођено околном простору и његовој намени. Приликом озелењавања простора  предност дати  аутохтоним врстама отпорним на аерозагађења које имају густу и добро развијену крошњу. Могу се користити и врсте егзота прилагођеним локалним условима, а да при том нису инвазивне и алергене (тополе и сл.). . Забрањена је садња инвазивних врста: Acer negundo јасенолисни јавор или негундовац), Amorpha fruticosa (багремац), RoЬinia pseudoacacia (багрем), Ailanthus altissima (кисело дрво), Fraxinus amaicana (амерички јасен), Fraxinus pennsylvanica (пенсилвански јасен), Celtis occidentalis (амерички копривић), Ulmus pumila (ситнолисни или сибирски брест), Prunus padus (сремза), Prunus serotina (касна сремза) и Parthenocissus quinquefolia (петолисни бршљан). </w:t>
      </w:r>
    </w:p>
    <w:p>
      <w:pPr>
        <w:pStyle w:val="Normal"/>
        <w:ind w:firstLine="360"/>
        <w:rPr>
          <w:rFonts w:ascii="Times New Roman" w:hAnsi="Times New Roman"/>
        </w:rPr>
      </w:pPr>
      <w:r>
        <w:rPr>
          <w:bCs/>
          <w:szCs w:val="24"/>
          <w:lang w:val="sr-RS"/>
        </w:rPr>
        <w:t xml:space="preserve">8) </w:t>
      </w:r>
      <w:r>
        <w:rPr>
          <w:bCs/>
          <w:szCs w:val="24"/>
          <w:lang w:val="ru-RU"/>
        </w:rPr>
        <w:t>Испоштовати да пречишћена вода мора задовољити критеријуме из Уредбе о граничним вредностима емисије загађених материја у воде и рокове за њихово достизање („Службени гласник Републике Србије”, број 67/2011, 48/12, 1/16), Уредбе о граничним вредностима загађујућих материја у површинским и подземним водама и седименту и роковима за њихово достизање („Службени гласник Републике Србије”, број 50/2012) и Правилника о опасним материјама у водама („Службени гласник СРС”, бр. 31/1982).</w:t>
      </w:r>
    </w:p>
    <w:p>
      <w:pPr>
        <w:pStyle w:val="Normal"/>
        <w:ind w:firstLine="360"/>
        <w:rPr>
          <w:rFonts w:ascii="Times New Roman" w:hAnsi="Times New Roman"/>
        </w:rPr>
      </w:pPr>
      <w:r>
        <w:rPr>
          <w:rFonts w:eastAsia="Calibri"/>
          <w:szCs w:val="24"/>
          <w:lang w:val="sr-RS"/>
        </w:rPr>
        <w:t>9) Предвидети да пречишћена вода буде минимум истог квалитета као и вода у реципијенту.</w:t>
      </w:r>
    </w:p>
    <w:p>
      <w:pPr>
        <w:pStyle w:val="Normal"/>
        <w:ind w:firstLine="360"/>
        <w:rPr>
          <w:rFonts w:ascii="Times New Roman" w:hAnsi="Times New Roman"/>
        </w:rPr>
      </w:pPr>
      <w:r>
        <w:rPr>
          <w:rFonts w:eastAsia="Calibri"/>
          <w:szCs w:val="24"/>
          <w:lang w:val="sr-RS"/>
        </w:rPr>
        <w:t>10) Забрањено је директно испуштање непречишћене воде у Велику реку.</w:t>
      </w:r>
    </w:p>
    <w:p>
      <w:pPr>
        <w:pStyle w:val="Normal"/>
        <w:ind w:firstLine="360"/>
        <w:rPr>
          <w:rFonts w:ascii="Times New Roman" w:hAnsi="Times New Roman"/>
        </w:rPr>
      </w:pPr>
      <w:r>
        <w:rPr>
          <w:bCs/>
          <w:szCs w:val="24"/>
          <w:lang w:val="sr-RS"/>
        </w:rPr>
        <w:t xml:space="preserve">11) Забрањује се депоновање свих врста отпада у и поред корита Велике реке; </w:t>
      </w:r>
    </w:p>
    <w:p>
      <w:pPr>
        <w:pStyle w:val="Normal"/>
        <w:ind w:firstLine="360"/>
        <w:rPr>
          <w:rFonts w:ascii="Times New Roman" w:hAnsi="Times New Roman"/>
        </w:rPr>
      </w:pPr>
      <w:r>
        <w:rPr>
          <w:bCs/>
          <w:szCs w:val="24"/>
          <w:lang w:val="sr-RS"/>
        </w:rPr>
        <w:t xml:space="preserve">12) Обавеза је да се обавља контрола квалитета воде из испусног канала. Вршити редовне хемијске анализе квалитета прерађене воде и о томе повремено, а у ексцесним случајевима обавезно обавестити надлежне институције; </w:t>
      </w:r>
    </w:p>
    <w:p>
      <w:pPr>
        <w:pStyle w:val="Normal"/>
        <w:ind w:firstLine="360"/>
        <w:rPr>
          <w:rFonts w:ascii="Times New Roman" w:hAnsi="Times New Roman"/>
        </w:rPr>
      </w:pPr>
      <w:r>
        <w:rPr>
          <w:rFonts w:eastAsia="Calibri"/>
          <w:szCs w:val="24"/>
          <w:lang w:val="sr-RS"/>
        </w:rPr>
        <w:t>13) Предвидети управљање муљем који настаје у процесу пречишћавања отпадних вода у складу са Програмом управљања муљем у Републици Србији за период 2023-2032.г. („Сл.гл. РС“, бр.84/2023).</w:t>
      </w:r>
    </w:p>
    <w:p>
      <w:pPr>
        <w:pStyle w:val="Normal"/>
        <w:ind w:firstLine="360"/>
        <w:rPr>
          <w:rFonts w:ascii="Times New Roman" w:hAnsi="Times New Roman"/>
        </w:rPr>
      </w:pPr>
      <w:r>
        <w:rPr>
          <w:rFonts w:eastAsia="Calibri"/>
          <w:szCs w:val="24"/>
          <w:lang w:val="sr-RS"/>
        </w:rPr>
        <w:t>14) Планом предвидети да сви базени, резервоари и остала инфраструктура који служе за таложење отпадних вода морају бити непропусни.</w:t>
      </w:r>
    </w:p>
    <w:p>
      <w:pPr>
        <w:pStyle w:val="Normal"/>
        <w:ind w:firstLine="360"/>
        <w:rPr>
          <w:rFonts w:ascii="Times New Roman" w:hAnsi="Times New Roman"/>
        </w:rPr>
      </w:pPr>
      <w:r>
        <w:rPr>
          <w:rFonts w:eastAsia="Calibri"/>
          <w:szCs w:val="24"/>
          <w:lang w:val="sr-RS"/>
        </w:rPr>
        <w:t>15) Испусни канали пречишћење воде у реципијент морају имати уставе, који се могу користити по потреби. Пројектовано испуштање пречишћених вода не сме бити већег капацитета него што су прихватни профили реципијента, а одабир места испуста ефлуента мора бити сагласан максималном степену разблажења.</w:t>
      </w:r>
    </w:p>
    <w:p>
      <w:pPr>
        <w:pStyle w:val="Normal"/>
        <w:ind w:firstLine="360"/>
        <w:rPr>
          <w:rFonts w:ascii="Times New Roman" w:hAnsi="Times New Roman"/>
        </w:rPr>
      </w:pPr>
      <w:r>
        <w:rPr>
          <w:rFonts w:eastAsia="Calibri"/>
          <w:szCs w:val="24"/>
          <w:lang w:val="sr-RS"/>
        </w:rPr>
        <w:t>16) Узорковање пречишћених вода мора се обављати из испустног канала. С тим у вези, потребно је вршити редовне минералошке, хемијске и биолошке анализе пречишћене воде и о томе повремено, а у акцидентним ситуацијама обавезно обавестити надлежне институције.</w:t>
      </w:r>
    </w:p>
    <w:p>
      <w:pPr>
        <w:pStyle w:val="Normal"/>
        <w:ind w:firstLine="360"/>
        <w:rPr>
          <w:rFonts w:ascii="Times New Roman" w:hAnsi="Times New Roman"/>
        </w:rPr>
      </w:pPr>
      <w:r>
        <w:rPr>
          <w:bCs/>
          <w:szCs w:val="24"/>
          <w:lang w:val="sr-RS"/>
        </w:rPr>
        <w:t xml:space="preserve">17) </w:t>
      </w:r>
      <w:r>
        <w:rPr>
          <w:bCs/>
          <w:szCs w:val="24"/>
          <w:lang w:val="ru-RU"/>
        </w:rPr>
        <w:t xml:space="preserve">Предвидети да сви објекти и  инфраструктура у оквиру ППОВ буду стално и на одговарајући начин одржавани. </w:t>
      </w:r>
    </w:p>
    <w:p>
      <w:pPr>
        <w:pStyle w:val="Normal"/>
        <w:ind w:firstLine="360"/>
        <w:rPr>
          <w:rFonts w:ascii="Times New Roman" w:hAnsi="Times New Roman"/>
        </w:rPr>
      </w:pPr>
      <w:r>
        <w:rPr>
          <w:bCs/>
          <w:szCs w:val="24"/>
          <w:lang w:val="sr-RS"/>
        </w:rPr>
        <w:t xml:space="preserve">18) </w:t>
      </w:r>
      <w:r>
        <w:rPr>
          <w:bCs/>
          <w:szCs w:val="24"/>
          <w:lang w:val="ru-RU"/>
        </w:rPr>
        <w:t>Забрањено је паљење стрништа, живица, тршћака и других типова станишта у оквиру предметног подручја, како на простору комплекса тако и у његовој околини;</w:t>
      </w:r>
    </w:p>
    <w:p>
      <w:pPr>
        <w:pStyle w:val="Normal"/>
        <w:ind w:firstLine="360"/>
        <w:rPr>
          <w:rFonts w:ascii="Times New Roman" w:hAnsi="Times New Roman"/>
        </w:rPr>
      </w:pPr>
      <w:r>
        <w:rPr>
          <w:bCs/>
          <w:szCs w:val="24"/>
          <w:lang w:val="sr-RS"/>
        </w:rPr>
        <w:t xml:space="preserve">19)  </w:t>
      </w:r>
      <w:r>
        <w:rPr>
          <w:bCs/>
          <w:szCs w:val="24"/>
          <w:lang w:val="ru-RU"/>
        </w:rPr>
        <w:t xml:space="preserve">Предвидети инфраструктурно опремање по високим еколошким стандардима; </w:t>
      </w:r>
    </w:p>
    <w:p>
      <w:pPr>
        <w:pStyle w:val="Normal"/>
        <w:ind w:firstLine="360"/>
        <w:rPr>
          <w:rFonts w:ascii="Times New Roman" w:hAnsi="Times New Roman"/>
        </w:rPr>
      </w:pPr>
      <w:r>
        <w:rPr>
          <w:bCs/>
          <w:szCs w:val="24"/>
          <w:lang w:val="sr-RS"/>
        </w:rPr>
        <w:t xml:space="preserve">20) </w:t>
      </w:r>
      <w:r>
        <w:rPr>
          <w:bCs/>
          <w:szCs w:val="24"/>
          <w:lang w:val="ru-RU"/>
        </w:rPr>
        <w:t xml:space="preserve">Овавезна је санација или рекултивација свих деградираних површина. Ископани слој земљишта депоновати засебно како би био искоришћен за санацију </w:t>
      </w:r>
      <w:r>
        <w:rPr/>
        <w:drawing>
          <wp:inline distT="0" distB="0" distL="0" distR="0">
            <wp:extent cx="4445" cy="13970"/>
            <wp:effectExtent l="0" t="0" r="0" b="0"/>
            <wp:docPr id="1" name="Picture 20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0362" descr=""/>
                    <pic:cNvPicPr>
                      <a:picLocks noChangeAspect="1" noChangeArrowheads="1"/>
                    </pic:cNvPicPr>
                  </pic:nvPicPr>
                  <pic:blipFill>
                    <a:blip r:embed="rId4"/>
                    <a:stretch>
                      <a:fillRect/>
                    </a:stretch>
                  </pic:blipFill>
                  <pic:spPr bwMode="auto">
                    <a:xfrm>
                      <a:off x="0" y="0"/>
                      <a:ext cx="4445" cy="13970"/>
                    </a:xfrm>
                    <a:prstGeom prst="rect">
                      <a:avLst/>
                    </a:prstGeom>
                  </pic:spPr>
                </pic:pic>
              </a:graphicData>
            </a:graphic>
          </wp:inline>
        </w:drawing>
      </w:r>
      <w:r>
        <w:rPr>
          <w:bCs/>
          <w:szCs w:val="24"/>
          <w:lang w:val="ru-RU"/>
        </w:rPr>
        <w:t>терена након завршетка радова;</w:t>
      </w:r>
    </w:p>
    <w:p>
      <w:pPr>
        <w:pStyle w:val="Normal"/>
        <w:ind w:firstLine="360"/>
        <w:rPr>
          <w:rFonts w:ascii="Times New Roman" w:hAnsi="Times New Roman"/>
        </w:rPr>
      </w:pPr>
      <w:r>
        <w:rPr>
          <w:bCs/>
          <w:szCs w:val="24"/>
          <w:lang w:val="sr-RS"/>
        </w:rPr>
        <w:t xml:space="preserve">21) </w:t>
      </w:r>
      <w:r>
        <w:rPr>
          <w:bCs/>
          <w:szCs w:val="24"/>
          <w:lang w:val="ru-RU"/>
        </w:rPr>
        <w:t xml:space="preserve">Обавеза је држаоца ППОВ да обезбеди ефикасан моониторинг животне средине у складу са чланом 72. Закона о заштити животне средине („Службени гласник РС“, бр. 135/04, 36/2009, 72/2009, 43/2011, 14/2016, 76/2018, </w:t>
      </w:r>
      <w:r>
        <w:rPr>
          <w:bCs/>
          <w:szCs w:val="24"/>
          <w:lang w:val="sr-RS"/>
        </w:rPr>
        <w:t>95/2018 – др. закон и 95/2018 – др. закон</w:t>
      </w:r>
      <w:r>
        <w:rPr>
          <w:bCs/>
          <w:szCs w:val="24"/>
          <w:lang w:val="ru-RU"/>
        </w:rPr>
        <w:t xml:space="preserve">) уз могућност брзе интервенције у случају акцидентних ситуација. </w:t>
      </w:r>
    </w:p>
    <w:p>
      <w:pPr>
        <w:pStyle w:val="Normal"/>
        <w:ind w:firstLine="360"/>
        <w:rPr>
          <w:rFonts w:ascii="Times New Roman" w:hAnsi="Times New Roman"/>
        </w:rPr>
      </w:pPr>
      <w:r>
        <w:rPr>
          <w:bCs/>
          <w:szCs w:val="24"/>
          <w:lang w:val="sr-RS"/>
        </w:rPr>
        <w:t xml:space="preserve">22) </w:t>
      </w:r>
      <w:r>
        <w:rPr>
          <w:bCs/>
          <w:szCs w:val="24"/>
          <w:lang w:val="ru-RU"/>
        </w:rPr>
        <w:t>Уколико се током радова наиђе на геолошко - палеонтолошке или минералошко-петролошке објекте, за које се претпоставља да имају својство природног добра, извођач радова је дужан да у року од осам дана обавести Министарство заштите животне средине, као и да предузме све мере заштите од уништења, оштећења или крађе до доласка овлашћеног лица.</w:t>
      </w:r>
    </w:p>
    <w:p>
      <w:pPr>
        <w:pStyle w:val="Normal"/>
        <w:suppressAutoHyphens w:val="false"/>
        <w:rPr>
          <w:rFonts w:ascii="Times New Roman" w:hAnsi="Times New Roman"/>
          <w:w w:val="105"/>
          <w:szCs w:val="24"/>
          <w:lang w:val="en-GB"/>
        </w:rPr>
      </w:pPr>
      <w:r>
        <w:rPr>
          <w:w w:val="105"/>
          <w:szCs w:val="24"/>
          <w:lang w:val="en-GB"/>
        </w:rPr>
      </w:r>
    </w:p>
    <w:p>
      <w:pPr>
        <w:pStyle w:val="Normal"/>
        <w:suppressAutoHyphens w:val="false"/>
        <w:rPr>
          <w:rFonts w:ascii="Times New Roman" w:hAnsi="Times New Roman"/>
        </w:rPr>
      </w:pPr>
      <w:r>
        <w:rPr>
          <w:bCs/>
          <w:szCs w:val="24"/>
          <w:lang w:val="ru-RU"/>
        </w:rPr>
        <w:t>Посебни услови за постројење</w:t>
      </w:r>
      <w:r>
        <w:rPr>
          <w:bCs/>
          <w:szCs w:val="24"/>
          <w:lang w:val="sr-RS"/>
        </w:rPr>
        <w:t xml:space="preserve"> и цевоводе: </w:t>
      </w:r>
      <w:r>
        <w:rPr>
          <w:bCs/>
          <w:szCs w:val="24"/>
          <w:lang w:val="ru-RU"/>
        </w:rPr>
        <w:t xml:space="preserve"> </w:t>
      </w:r>
    </w:p>
    <w:p>
      <w:pPr>
        <w:pStyle w:val="Normal"/>
        <w:suppressAutoHyphens w:val="false"/>
        <w:spacing w:before="0" w:after="45"/>
        <w:ind w:firstLine="720"/>
        <w:rPr>
          <w:rFonts w:ascii="Times New Roman" w:hAnsi="Times New Roman"/>
        </w:rPr>
      </w:pPr>
      <w:r>
        <w:rPr>
          <w:bCs/>
          <w:szCs w:val="24"/>
          <w:lang w:val="ru-RU"/>
        </w:rPr>
        <w:t xml:space="preserve">− </w:t>
      </w:r>
      <w:r>
        <w:rPr>
          <w:bCs/>
          <w:szCs w:val="24"/>
          <w:lang w:val="ru-RU"/>
        </w:rPr>
        <w:t xml:space="preserve">дуж инфраструктурних траса не сме доћи до промена инжењерскогеолошких карактерпстика тла; </w:t>
      </w:r>
    </w:p>
    <w:p>
      <w:pPr>
        <w:pStyle w:val="Normal"/>
        <w:suppressAutoHyphens w:val="false"/>
        <w:spacing w:before="0" w:after="45"/>
        <w:ind w:firstLine="720"/>
        <w:rPr>
          <w:rFonts w:ascii="Times New Roman" w:hAnsi="Times New Roman"/>
        </w:rPr>
      </w:pPr>
      <w:r>
        <w:rPr>
          <w:bCs/>
          <w:szCs w:val="24"/>
          <w:lang w:val="ru-RU"/>
        </w:rPr>
        <w:t xml:space="preserve">− </w:t>
      </w:r>
      <w:r>
        <w:rPr>
          <w:bCs/>
          <w:szCs w:val="24"/>
          <w:lang w:val="ru-RU"/>
        </w:rPr>
        <w:t xml:space="preserve">цевовод и остала инфраструкгура на читавој траси мора бити изолована и у потпуности непропусна: </w:t>
      </w:r>
    </w:p>
    <w:p>
      <w:pPr>
        <w:pStyle w:val="Normal"/>
        <w:suppressAutoHyphens w:val="false"/>
        <w:spacing w:before="0" w:after="45"/>
        <w:ind w:firstLine="720"/>
        <w:rPr>
          <w:rFonts w:ascii="Times New Roman" w:hAnsi="Times New Roman"/>
        </w:rPr>
      </w:pPr>
      <w:r>
        <w:rPr>
          <w:bCs/>
          <w:szCs w:val="24"/>
          <w:lang w:val="ru-RU"/>
        </w:rPr>
        <w:t xml:space="preserve">−  </w:t>
      </w:r>
      <w:r>
        <w:rPr>
          <w:bCs/>
          <w:szCs w:val="24"/>
          <w:lang w:val="ru-RU"/>
        </w:rPr>
        <w:t xml:space="preserve">приликом постављања цевовода и свих других радова, хумусни слој се мора уклонити и депоновати посебно, како би се могао вратити на првобитно место и инскористити за санацију и затрављивање; </w:t>
      </w:r>
    </w:p>
    <w:p>
      <w:pPr>
        <w:pStyle w:val="Normal"/>
        <w:suppressAutoHyphens w:val="false"/>
        <w:ind w:firstLine="360"/>
        <w:rPr>
          <w:rFonts w:ascii="Times New Roman" w:hAnsi="Times New Roman"/>
        </w:rPr>
      </w:pPr>
      <w:r>
        <w:rPr>
          <w:bCs/>
          <w:szCs w:val="24"/>
          <w:lang w:val="ru-RU"/>
        </w:rPr>
        <w:tab/>
        <w:t>− планираном изградњом објеката и инфраструктуре постр</w:t>
      </w:r>
      <w:r>
        <w:rPr>
          <w:bCs/>
          <w:szCs w:val="24"/>
          <w:lang w:val="sr-RS"/>
        </w:rPr>
        <w:t>о</w:t>
      </w:r>
      <w:r>
        <w:rPr>
          <w:bCs/>
          <w:szCs w:val="24"/>
          <w:lang w:val="ru-RU"/>
        </w:rPr>
        <w:t xml:space="preserve">јења за пречишћавање отпадних вода, не сме доћи до значајног промена режима, а посебно квалитативних карактеристика подземних и површмнских вода на предметном подручју. </w:t>
      </w:r>
    </w:p>
    <w:p>
      <w:pPr>
        <w:pStyle w:val="Normal"/>
        <w:suppressAutoHyphens w:val="false"/>
        <w:rPr>
          <w:rFonts w:ascii="Times New Roman" w:hAnsi="Times New Roman"/>
          <w:w w:val="105"/>
          <w:szCs w:val="24"/>
          <w:lang w:val="en-GB"/>
        </w:rPr>
      </w:pPr>
      <w:r>
        <w:rPr>
          <w:w w:val="105"/>
          <w:szCs w:val="24"/>
          <w:lang w:val="en-GB"/>
        </w:rPr>
      </w:r>
    </w:p>
    <w:p>
      <w:pPr>
        <w:pStyle w:val="Normal"/>
        <w:suppressAutoHyphens w:val="false"/>
        <w:ind w:firstLine="360"/>
        <w:jc w:val="left"/>
        <w:rPr>
          <w:rFonts w:ascii="Times New Roman" w:hAnsi="Times New Roman"/>
        </w:rPr>
      </w:pPr>
      <w:r>
        <w:rPr>
          <w:rFonts w:eastAsia="Calibri" w:eastAsiaTheme="minorHAnsi"/>
          <w:b/>
          <w:bCs/>
          <w:szCs w:val="24"/>
        </w:rPr>
        <w:t xml:space="preserve">6.3. </w:t>
      </w:r>
      <w:r>
        <w:rPr>
          <w:rFonts w:eastAsia="SimSun"/>
          <w:b/>
          <w:bCs/>
          <w:szCs w:val="24"/>
        </w:rPr>
        <w:t xml:space="preserve"> </w:t>
      </w:r>
      <w:r>
        <w:rPr>
          <w:rFonts w:eastAsia="SimSun"/>
          <w:b/>
          <w:bCs/>
          <w:szCs w:val="24"/>
          <w:lang w:val="en-GB"/>
        </w:rPr>
        <w:t>Услови и мере заштите непокретних културних добара и културног наслеђа</w:t>
      </w:r>
      <w:r>
        <w:rPr>
          <w:rFonts w:eastAsia="SimSun"/>
          <w:b/>
          <w:bCs/>
          <w:szCs w:val="24"/>
        </w:rPr>
        <w:t xml:space="preserve"> </w:t>
      </w:r>
    </w:p>
    <w:p>
      <w:pPr>
        <w:pStyle w:val="Normal"/>
        <w:suppressAutoHyphens w:val="false"/>
        <w:ind w:left="786" w:hanging="0"/>
        <w:jc w:val="left"/>
        <w:rPr>
          <w:rFonts w:ascii="Times New Roman" w:hAnsi="Times New Roman" w:eastAsia="SimSun"/>
        </w:rPr>
      </w:pPr>
      <w:r>
        <w:rPr>
          <w:rFonts w:eastAsia="SimSun"/>
        </w:rPr>
      </w:r>
    </w:p>
    <w:p>
      <w:pPr>
        <w:pStyle w:val="Normal"/>
        <w:tabs>
          <w:tab w:val="clear" w:pos="720"/>
          <w:tab w:val="left" w:pos="426" w:leader="none"/>
        </w:tabs>
        <w:ind w:firstLine="426"/>
        <w:rPr>
          <w:rFonts w:ascii="Times New Roman" w:hAnsi="Times New Roman"/>
        </w:rPr>
      </w:pPr>
      <w:r>
        <w:rPr>
          <w:rFonts w:eastAsia="Calibri"/>
          <w:i/>
          <w:iCs/>
          <w:szCs w:val="24"/>
        </w:rPr>
        <w:t xml:space="preserve">УСЛОВИ </w:t>
      </w:r>
      <w:bookmarkStart w:id="45" w:name="_Hlk139276080"/>
      <w:r>
        <w:rPr>
          <w:rFonts w:eastAsia="Calibri"/>
          <w:i/>
          <w:iCs/>
          <w:szCs w:val="24"/>
        </w:rPr>
        <w:t>„Завода за заштиту споменика културе Ниш“</w:t>
      </w:r>
      <w:bookmarkEnd w:id="45"/>
      <w:r>
        <w:rPr>
          <w:rFonts w:eastAsia="Calibri"/>
          <w:i/>
          <w:iCs/>
          <w:szCs w:val="24"/>
        </w:rPr>
        <w:t>, број  1</w:t>
      </w:r>
      <w:r>
        <w:rPr>
          <w:rFonts w:eastAsia="Calibri"/>
          <w:i/>
          <w:iCs/>
          <w:szCs w:val="24"/>
          <w:lang w:val="sr-RS"/>
        </w:rPr>
        <w:t>871</w:t>
      </w:r>
      <w:r>
        <w:rPr>
          <w:rFonts w:eastAsia="Calibri"/>
          <w:i/>
          <w:iCs/>
          <w:szCs w:val="24"/>
        </w:rPr>
        <w:t xml:space="preserve">/2-02, од </w:t>
      </w:r>
      <w:r>
        <w:rPr>
          <w:rFonts w:eastAsia="Calibri"/>
          <w:i/>
          <w:iCs/>
          <w:szCs w:val="24"/>
          <w:lang w:val="sr-RS"/>
        </w:rPr>
        <w:t>0</w:t>
      </w:r>
      <w:r>
        <w:rPr>
          <w:rFonts w:eastAsia="Calibri"/>
          <w:i/>
          <w:iCs/>
          <w:szCs w:val="24"/>
        </w:rPr>
        <w:t>1.11.202</w:t>
      </w:r>
      <w:r>
        <w:rPr>
          <w:rFonts w:eastAsia="Calibri"/>
          <w:i/>
          <w:iCs/>
          <w:szCs w:val="24"/>
          <w:lang w:val="sr-RS"/>
        </w:rPr>
        <w:t>3</w:t>
      </w:r>
      <w:r>
        <w:rPr>
          <w:rFonts w:eastAsia="Calibri"/>
          <w:i/>
          <w:iCs/>
          <w:szCs w:val="24"/>
        </w:rPr>
        <w:t>. г</w:t>
      </w:r>
      <w:r>
        <w:rPr>
          <w:rFonts w:eastAsia="Calibri"/>
          <w:i/>
          <w:iCs/>
          <w:szCs w:val="24"/>
          <w:lang w:val="sr-RS"/>
        </w:rPr>
        <w:t>.</w:t>
      </w:r>
      <w:r>
        <w:rPr>
          <w:rFonts w:eastAsia="Calibri"/>
          <w:i/>
          <w:iCs/>
          <w:szCs w:val="24"/>
        </w:rPr>
        <w:t xml:space="preserve"> </w:t>
      </w:r>
    </w:p>
    <w:p>
      <w:pPr>
        <w:pStyle w:val="Normal"/>
        <w:suppressAutoHyphens w:val="false"/>
        <w:rPr>
          <w:rFonts w:ascii="Times New Roman" w:hAnsi="Times New Roman" w:eastAsia="Times New Roman"/>
          <w:szCs w:val="24"/>
          <w:lang w:val="ru-RU"/>
        </w:rPr>
      </w:pPr>
      <w:r>
        <w:rPr>
          <w:rFonts w:eastAsia="Times New Roman"/>
          <w:szCs w:val="24"/>
          <w:lang w:val="ru-RU"/>
        </w:rPr>
      </w:r>
    </w:p>
    <w:p>
      <w:pPr>
        <w:pStyle w:val="Normal"/>
        <w:numPr>
          <w:ilvl w:val="0"/>
          <w:numId w:val="11"/>
        </w:numPr>
        <w:tabs>
          <w:tab w:val="clear" w:pos="720"/>
          <w:tab w:val="left" w:pos="426" w:leader="none"/>
        </w:tabs>
        <w:rPr>
          <w:rFonts w:ascii="Times New Roman" w:hAnsi="Times New Roman"/>
        </w:rPr>
      </w:pPr>
      <w:r>
        <w:rPr>
          <w:rFonts w:eastAsia="Calibri"/>
          <w:szCs w:val="24"/>
        </w:rPr>
        <w:t>НЕПОКРЕТНО КУЛТУРНО НАСЛЕЂЕ НА ПОДРУЧЈУ ПЛАНА</w:t>
      </w:r>
    </w:p>
    <w:p>
      <w:pPr>
        <w:pStyle w:val="Normal"/>
        <w:tabs>
          <w:tab w:val="clear" w:pos="720"/>
          <w:tab w:val="left" w:pos="426" w:leader="none"/>
        </w:tabs>
        <w:ind w:firstLine="426"/>
        <w:rPr>
          <w:rFonts w:ascii="Times New Roman" w:hAnsi="Times New Roman"/>
        </w:rPr>
      </w:pPr>
      <w:r>
        <w:rPr>
          <w:rFonts w:eastAsia="Calibri"/>
          <w:szCs w:val="24"/>
          <w:lang w:val="sr-RS"/>
        </w:rPr>
        <w:t>На простору обухваћеном Планом, у току израде планске документације није извршена систематска проспекција и валоризација непокретног културног наслеђа, археолошког наслеђа и ратних меморијала.</w:t>
      </w:r>
    </w:p>
    <w:p>
      <w:pPr>
        <w:pStyle w:val="Normal"/>
        <w:tabs>
          <w:tab w:val="clear" w:pos="720"/>
          <w:tab w:val="left" w:pos="426" w:leader="none"/>
        </w:tabs>
        <w:ind w:firstLine="426"/>
        <w:rPr>
          <w:rFonts w:ascii="Times New Roman" w:hAnsi="Times New Roman"/>
        </w:rPr>
      </w:pPr>
      <w:r>
        <w:rPr>
          <w:rFonts w:eastAsia="Calibri"/>
          <w:szCs w:val="24"/>
          <w:lang w:val="sr-RS"/>
        </w:rPr>
        <w:t xml:space="preserve">На основу наведеног, податци о непокретном културном наслеђу на предметном простору нису прикупљени,  не постоје утврђена непокретна културна добра, евидентирана добра која уживају претходну заштиту,  евидентирани ратни меморијали. </w:t>
      </w:r>
    </w:p>
    <w:p>
      <w:pPr>
        <w:pStyle w:val="Normal"/>
        <w:tabs>
          <w:tab w:val="clear" w:pos="720"/>
          <w:tab w:val="left" w:pos="426" w:leader="none"/>
        </w:tabs>
        <w:ind w:firstLine="426"/>
        <w:rPr>
          <w:rFonts w:ascii="Times New Roman" w:hAnsi="Times New Roman"/>
        </w:rPr>
      </w:pPr>
      <w:r>
        <w:rPr>
          <w:rFonts w:eastAsia="Calibri"/>
          <w:szCs w:val="24"/>
          <w:lang w:val="sr-RS"/>
        </w:rPr>
        <w:t>Планским документом третира се археолошки неистражен простор, што може негативно утицати како на очување археолошког наслеђа, тако и на реализацију Плана, у случају открића археолошког наслеђа током извођења грађевинских радова.</w:t>
      </w:r>
      <w:r>
        <w:rPr>
          <w:rFonts w:eastAsia="Calibri"/>
          <w:szCs w:val="24"/>
        </w:rPr>
        <w:t xml:space="preserve"> </w:t>
      </w:r>
    </w:p>
    <w:p>
      <w:pPr>
        <w:pStyle w:val="Normal"/>
        <w:tabs>
          <w:tab w:val="clear" w:pos="720"/>
          <w:tab w:val="left" w:pos="426" w:leader="none"/>
        </w:tabs>
        <w:ind w:firstLine="426"/>
        <w:rPr>
          <w:rFonts w:ascii="Times New Roman" w:hAnsi="Times New Roman" w:eastAsia="Calibri"/>
          <w:szCs w:val="24"/>
        </w:rPr>
      </w:pPr>
      <w:r>
        <w:rPr>
          <w:rFonts w:eastAsia="Calibri"/>
          <w:szCs w:val="24"/>
        </w:rPr>
      </w:r>
    </w:p>
    <w:p>
      <w:pPr>
        <w:pStyle w:val="Normal"/>
        <w:numPr>
          <w:ilvl w:val="0"/>
          <w:numId w:val="11"/>
        </w:numPr>
        <w:tabs>
          <w:tab w:val="clear" w:pos="720"/>
          <w:tab w:val="left" w:pos="426" w:leader="none"/>
        </w:tabs>
        <w:rPr>
          <w:rFonts w:ascii="Times New Roman" w:hAnsi="Times New Roman"/>
        </w:rPr>
      </w:pPr>
      <w:r>
        <w:rPr>
          <w:rFonts w:eastAsia="Calibri"/>
          <w:szCs w:val="24"/>
        </w:rPr>
        <w:t xml:space="preserve">МЕРЕ ЗАШТИТЕ НЕПОКРЕТНОГ КУЛТУРНОГ НАСЛЕЂА У ПОСТУПКУ </w:t>
      </w:r>
      <w:r>
        <w:rPr>
          <w:rFonts w:eastAsia="Calibri"/>
          <w:szCs w:val="24"/>
          <w:lang w:val="sr-RS"/>
        </w:rPr>
        <w:t>УСВАЈАЊА ПЛАНА</w:t>
      </w:r>
    </w:p>
    <w:p>
      <w:pPr>
        <w:pStyle w:val="Normal"/>
        <w:tabs>
          <w:tab w:val="clear" w:pos="720"/>
          <w:tab w:val="left" w:pos="426" w:leader="none"/>
        </w:tabs>
        <w:ind w:firstLine="426"/>
        <w:rPr>
          <w:rFonts w:ascii="Times New Roman" w:hAnsi="Times New Roman"/>
        </w:rPr>
      </w:pPr>
      <w:r>
        <w:rPr>
          <w:rFonts w:eastAsia="Calibri"/>
          <w:szCs w:val="24"/>
          <w:lang w:val="sr-RS"/>
        </w:rPr>
        <w:t>1.</w:t>
      </w:r>
      <w:r>
        <w:rPr>
          <w:rFonts w:eastAsia="Calibri"/>
          <w:szCs w:val="24"/>
        </w:rPr>
        <w:t>Није дозвољено оштећење или уништење археолошк</w:t>
      </w:r>
      <w:r>
        <w:rPr>
          <w:rFonts w:eastAsia="Calibri"/>
          <w:szCs w:val="24"/>
          <w:lang w:val="sr-RS"/>
        </w:rPr>
        <w:t>их</w:t>
      </w:r>
      <w:r>
        <w:rPr>
          <w:rFonts w:eastAsia="Calibri"/>
          <w:szCs w:val="24"/>
        </w:rPr>
        <w:t xml:space="preserve"> на</w:t>
      </w:r>
      <w:r>
        <w:rPr>
          <w:rFonts w:eastAsia="Calibri"/>
          <w:szCs w:val="24"/>
          <w:lang w:val="sr-RS"/>
        </w:rPr>
        <w:t>лаза</w:t>
      </w:r>
      <w:r>
        <w:rPr>
          <w:rFonts w:eastAsia="Calibri"/>
          <w:szCs w:val="24"/>
        </w:rPr>
        <w:t>.</w:t>
      </w:r>
    </w:p>
    <w:p>
      <w:pPr>
        <w:pStyle w:val="Normal"/>
        <w:tabs>
          <w:tab w:val="clear" w:pos="720"/>
          <w:tab w:val="left" w:pos="426" w:leader="none"/>
        </w:tabs>
        <w:ind w:firstLine="426"/>
        <w:rPr>
          <w:rFonts w:ascii="Times New Roman" w:hAnsi="Times New Roman"/>
        </w:rPr>
      </w:pPr>
      <w:r>
        <w:rPr>
          <w:rFonts w:eastAsia="Calibri"/>
          <w:szCs w:val="24"/>
          <w:lang w:val="sr-RS"/>
        </w:rPr>
        <w:t xml:space="preserve">2.Ако се у току извођења радова  наиђе на  археолошка налазишта или археолошке предмете, </w:t>
      </w:r>
      <w:r>
        <w:rPr>
          <w:rFonts w:eastAsia="Calibri"/>
          <w:b/>
          <w:bCs/>
          <w:szCs w:val="24"/>
          <w:lang w:val="sr-RS"/>
        </w:rPr>
        <w:t>извођач радова је дужан да одмах , без одлагања прекине радов</w:t>
      </w:r>
      <w:r>
        <w:rPr>
          <w:rFonts w:eastAsia="Calibri"/>
          <w:szCs w:val="24"/>
          <w:lang w:val="sr-RS"/>
        </w:rPr>
        <w:t xml:space="preserve">е и обавести надлежни </w:t>
      </w:r>
      <w:r>
        <w:rPr>
          <w:rFonts w:eastAsia="Calibri"/>
          <w:szCs w:val="24"/>
        </w:rPr>
        <w:t>Завода за заштиту споменика културе Ниш</w:t>
      </w:r>
      <w:r>
        <w:rPr>
          <w:rFonts w:eastAsia="Calibri"/>
          <w:szCs w:val="24"/>
          <w:lang w:val="sr-RS"/>
        </w:rPr>
        <w:t>- и да предузме мере да се налаз не уништи и не оштети и да се сачува на месту и у положају у коме је откривен.</w:t>
      </w:r>
    </w:p>
    <w:p>
      <w:pPr>
        <w:pStyle w:val="Normal"/>
        <w:tabs>
          <w:tab w:val="clear" w:pos="720"/>
          <w:tab w:val="left" w:pos="426" w:leader="none"/>
        </w:tabs>
        <w:ind w:firstLine="426"/>
        <w:rPr>
          <w:rFonts w:ascii="Times New Roman" w:hAnsi="Times New Roman"/>
        </w:rPr>
      </w:pPr>
      <w:r>
        <w:rPr>
          <w:rFonts w:eastAsia="Calibri"/>
          <w:szCs w:val="24"/>
          <w:lang w:val="sr-RS"/>
        </w:rPr>
        <w:t xml:space="preserve">3.У случају открића археолошког наслеђа током извођења грађевинских и других радова, инвеститор изградње је у обавези је да обезбеди средства за заштна </w:t>
      </w:r>
      <w:r>
        <w:rPr>
          <w:rFonts w:eastAsia="Calibri"/>
          <w:b/>
          <w:bCs/>
          <w:szCs w:val="24"/>
          <w:lang w:val="sr-RS"/>
        </w:rPr>
        <w:t>археолошка истраживања</w:t>
      </w:r>
      <w:r>
        <w:rPr>
          <w:rFonts w:eastAsia="Calibri"/>
          <w:szCs w:val="24"/>
          <w:lang w:val="sr-RS"/>
        </w:rPr>
        <w:t xml:space="preserve">, </w:t>
      </w:r>
      <w:r>
        <w:rPr>
          <w:rFonts w:eastAsia="Calibri"/>
          <w:b/>
          <w:bCs/>
          <w:szCs w:val="24"/>
          <w:lang w:val="sr-RS"/>
        </w:rPr>
        <w:t>заштиту, чување, публиковање и презентацију археолошког наслеђа у зони која је угрожена планираном изградњом.</w:t>
      </w:r>
      <w:r>
        <w:rPr>
          <w:rFonts w:eastAsia="Calibri"/>
          <w:szCs w:val="24"/>
          <w:lang w:val="sr-RS"/>
        </w:rPr>
        <w:t xml:space="preserve"> </w:t>
      </w:r>
    </w:p>
    <w:p>
      <w:pPr>
        <w:pStyle w:val="Normal"/>
        <w:tabs>
          <w:tab w:val="clear" w:pos="720"/>
          <w:tab w:val="left" w:pos="426" w:leader="none"/>
        </w:tabs>
        <w:ind w:firstLine="426"/>
        <w:rPr>
          <w:rFonts w:ascii="Times New Roman" w:hAnsi="Times New Roman"/>
        </w:rPr>
      </w:pPr>
      <w:r>
        <w:rPr>
          <w:rFonts w:eastAsia="Calibri"/>
          <w:szCs w:val="24"/>
          <w:lang w:val="sr-RS"/>
        </w:rPr>
        <w:t>4. Након спроведених заштитних археолошких истраживања, инвеститор је у обавези да прибави нове услове-мере заштите од надлежног завода, а који ће се дефинисати на основу резултата сптоведених заштитних археолошких истраживања.</w:t>
      </w:r>
    </w:p>
    <w:p>
      <w:pPr>
        <w:pStyle w:val="Normal"/>
        <w:suppressAutoHyphens w:val="false"/>
        <w:jc w:val="left"/>
        <w:rPr>
          <w:rFonts w:ascii="Times New Roman" w:hAnsi="Times New Roman" w:eastAsia="Calibri" w:eastAsiaTheme="minorHAnsi"/>
          <w:b/>
          <w:b/>
          <w:bCs/>
          <w:szCs w:val="24"/>
        </w:rPr>
      </w:pPr>
      <w:r>
        <w:rPr>
          <w:rFonts w:eastAsia="Calibri" w:eastAsiaTheme="minorHAnsi"/>
          <w:b/>
          <w:bCs/>
          <w:szCs w:val="24"/>
        </w:rPr>
      </w:r>
    </w:p>
    <w:p>
      <w:pPr>
        <w:pStyle w:val="Normal"/>
        <w:suppressAutoHyphens w:val="false"/>
        <w:ind w:firstLine="426"/>
        <w:jc w:val="left"/>
        <w:rPr>
          <w:rFonts w:ascii="Times New Roman" w:hAnsi="Times New Roman"/>
        </w:rPr>
      </w:pPr>
      <w:r>
        <w:rPr>
          <w:rFonts w:eastAsia="Calibri" w:eastAsiaTheme="minorHAnsi"/>
          <w:b/>
          <w:bCs/>
          <w:szCs w:val="24"/>
        </w:rPr>
        <w:t xml:space="preserve">6.4.  </w:t>
      </w:r>
      <w:bookmarkStart w:id="46" w:name="_Hlk130923598"/>
      <w:r>
        <w:rPr>
          <w:rFonts w:eastAsia="SimSun"/>
          <w:b/>
          <w:bCs/>
          <w:szCs w:val="24"/>
        </w:rPr>
        <w:t xml:space="preserve">Услови и </w:t>
      </w:r>
      <w:r>
        <w:rPr>
          <w:rFonts w:eastAsia="SimSun"/>
          <w:b/>
          <w:bCs/>
          <w:szCs w:val="24"/>
          <w:lang w:val="en-GB"/>
        </w:rPr>
        <w:t>мере за</w:t>
      </w:r>
      <w:r>
        <w:rPr>
          <w:rFonts w:eastAsia="SimSun"/>
          <w:b/>
          <w:bCs/>
          <w:szCs w:val="24"/>
        </w:rPr>
        <w:t xml:space="preserve">штите </w:t>
      </w:r>
      <w:r>
        <w:rPr>
          <w:rFonts w:eastAsia="Calibri" w:eastAsiaTheme="minorHAnsi"/>
          <w:b/>
          <w:bCs/>
          <w:iCs/>
          <w:szCs w:val="24"/>
        </w:rPr>
        <w:t>од елементарних и других већих непогода, техничко-технолошких несрећа и ратних дејстав</w:t>
      </w:r>
      <w:bookmarkEnd w:id="46"/>
      <w:r>
        <w:rPr>
          <w:rFonts w:eastAsia="Calibri" w:eastAsiaTheme="minorHAnsi"/>
          <w:b/>
          <w:bCs/>
          <w:iCs/>
          <w:szCs w:val="24"/>
        </w:rPr>
        <w:t xml:space="preserve">а </w:t>
      </w:r>
    </w:p>
    <w:p>
      <w:pPr>
        <w:pStyle w:val="Normal"/>
        <w:suppressAutoHyphens w:val="false"/>
        <w:jc w:val="left"/>
        <w:rPr>
          <w:rFonts w:ascii="Times New Roman" w:hAnsi="Times New Roman" w:eastAsia="SimSun"/>
          <w:b/>
          <w:b/>
          <w:bCs/>
        </w:rPr>
      </w:pPr>
      <w:r>
        <w:rPr>
          <w:rFonts w:eastAsia="SimSun"/>
          <w:b/>
          <w:bCs/>
        </w:rPr>
      </w:r>
    </w:p>
    <w:p>
      <w:pPr>
        <w:pStyle w:val="Normal"/>
        <w:ind w:firstLine="426"/>
        <w:rPr>
          <w:rFonts w:ascii="Times New Roman" w:hAnsi="Times New Roman"/>
        </w:rPr>
      </w:pPr>
      <w:r>
        <w:rPr>
          <w:szCs w:val="24"/>
          <w:lang w:val="ru-RU"/>
        </w:rPr>
        <w:t xml:space="preserve">Потребно је да се </w:t>
      </w:r>
      <w:r>
        <w:rPr>
          <w:szCs w:val="24"/>
        </w:rPr>
        <w:t>при изградњи на предметном простору, скупом урбанистичких и грађевинских карактеристика задовоље потребе заштите, и то пре свега тако да се смање дејства евентуалног разарања објеката. Због тога је, при планирању на овом простору обавезно обезбедити могућност примене и реализације мера заштите од елементарних и других већих непогода. У том смислу, са аспекта заштите на предметном простору биће разрађене и спроведене мере и дати параметри повредивости.</w:t>
      </w:r>
    </w:p>
    <w:p>
      <w:pPr>
        <w:pStyle w:val="Normal"/>
        <w:ind w:firstLine="426"/>
        <w:rPr>
          <w:rFonts w:ascii="Times New Roman" w:hAnsi="Times New Roman"/>
        </w:rPr>
      </w:pPr>
      <w:r>
        <w:rPr>
          <w:szCs w:val="24"/>
        </w:rPr>
        <w:t>Пројектно техничком документацијом дефинисати посебне мере заштите од пожара и могућих удеса, као и мере за отклањање последица у случају удеса; на предметну документацију обавезна је сагласност надлежног органа на предвиђене мере заштите од експлозије и удеса.</w:t>
      </w:r>
    </w:p>
    <w:p>
      <w:pPr>
        <w:pStyle w:val="Normal"/>
        <w:ind w:firstLine="426"/>
        <w:rPr>
          <w:rFonts w:ascii="Times New Roman" w:hAnsi="Times New Roman"/>
        </w:rPr>
      </w:pPr>
      <w:r>
        <w:rPr>
          <w:szCs w:val="24"/>
          <w:lang w:eastAsia="ar-SA"/>
        </w:rPr>
        <w:t xml:space="preserve">У поступку спровођења </w:t>
      </w:r>
      <w:r>
        <w:rPr>
          <w:szCs w:val="24"/>
        </w:rPr>
        <w:t xml:space="preserve">Плана, </w:t>
      </w:r>
      <w:r>
        <w:rPr>
          <w:szCs w:val="24"/>
          <w:lang w:eastAsia="ar-SA"/>
        </w:rPr>
        <w:t xml:space="preserve">приликом издавања  Информације о локацији и Локацијских услова обавезна је примена свих прописа, смерница и стручних искуства. као и Уредбе о организовању и функционисању цивилне заштите („Сл. </w:t>
      </w:r>
      <w:r>
        <w:rPr>
          <w:szCs w:val="24"/>
          <w:lang w:val="sr-RS" w:eastAsia="ar-SA"/>
        </w:rPr>
        <w:t>г</w:t>
      </w:r>
      <w:r>
        <w:rPr>
          <w:szCs w:val="24"/>
          <w:lang w:eastAsia="ar-SA"/>
        </w:rPr>
        <w:t xml:space="preserve">ласник РС“, бр. 21/92). </w:t>
      </w:r>
    </w:p>
    <w:p>
      <w:pPr>
        <w:pStyle w:val="Normal"/>
        <w:ind w:firstLine="426"/>
        <w:rPr>
          <w:rFonts w:ascii="Times New Roman" w:hAnsi="Times New Roman"/>
        </w:rPr>
      </w:pPr>
      <w:r>
        <w:rPr>
          <w:szCs w:val="24"/>
          <w:lang w:eastAsia="ar-SA"/>
        </w:rPr>
        <w:t xml:space="preserve">Објекти морају бити реализовани у складу са Правилником о техничким нормативима за електричне инсталације ниског напона („Сл. </w:t>
      </w:r>
      <w:r>
        <w:rPr>
          <w:szCs w:val="24"/>
          <w:lang w:val="sr-RS" w:eastAsia="ar-SA"/>
        </w:rPr>
        <w:t>л</w:t>
      </w:r>
      <w:r>
        <w:rPr>
          <w:szCs w:val="24"/>
          <w:lang w:eastAsia="ar-SA"/>
        </w:rPr>
        <w:t>ист СФРЈ“, бр. 53/88, 54/88</w:t>
      </w:r>
      <w:r>
        <w:rPr>
          <w:szCs w:val="24"/>
          <w:lang w:val="sr-RS" w:eastAsia="ar-SA"/>
        </w:rPr>
        <w:t xml:space="preserve"> и 54/88 – испр. и „Сл. Лист СРЈ“, бр. </w:t>
      </w:r>
      <w:r>
        <w:rPr>
          <w:szCs w:val="24"/>
          <w:lang w:eastAsia="ar-SA"/>
        </w:rPr>
        <w:t>28/95) и Правилником за заштиту објеката од атмосферског пражњења („Сл. лист СРЈ“, бр. 11/96).</w:t>
      </w:r>
    </w:p>
    <w:p>
      <w:pPr>
        <w:pStyle w:val="Normal"/>
        <w:ind w:firstLine="426"/>
        <w:rPr>
          <w:rFonts w:ascii="Times New Roman" w:hAnsi="Times New Roman"/>
        </w:rPr>
      </w:pPr>
      <w:r>
        <w:rPr>
          <w:szCs w:val="24"/>
          <w:lang w:eastAsia="ar-SA"/>
        </w:rPr>
        <w:t>Заштита становништва и материјалних добара од ратних разарања обезбеђује се према Закону о одбрани („Сл. гласник РС“, бр. 116/07, 88/09, 88/09-др.закон, 104/09-др.закон, 10/15 и 36/18) и Уредби о организовању и функционисању цивилне заштите („Сл. гласник РС“, бр. 21/92).</w:t>
      </w:r>
    </w:p>
    <w:p>
      <w:pPr>
        <w:pStyle w:val="Normal"/>
        <w:ind w:firstLine="426"/>
        <w:rPr>
          <w:rFonts w:ascii="Times New Roman" w:hAnsi="Times New Roman"/>
        </w:rPr>
      </w:pPr>
      <w:r>
        <w:rPr>
          <w:szCs w:val="24"/>
          <w:lang w:eastAsia="ar-SA"/>
        </w:rPr>
        <w:t>На предметном подручју забрањена је употреба технологија које могу угрозити окружење. Обавезна је употреба атестираних инфраструктурних објеката и мрежа, а њихова уградња мора бити извршена од стручних и овлашћених лица.</w:t>
      </w:r>
    </w:p>
    <w:p>
      <w:pPr>
        <w:pStyle w:val="Normal"/>
        <w:ind w:firstLine="426"/>
        <w:rPr>
          <w:rFonts w:ascii="Times New Roman" w:hAnsi="Times New Roman"/>
          <w:color w:val="FF0000"/>
          <w:szCs w:val="24"/>
        </w:rPr>
      </w:pPr>
      <w:r>
        <w:rPr>
          <w:color w:val="FF0000"/>
          <w:szCs w:val="24"/>
        </w:rPr>
      </w:r>
    </w:p>
    <w:p>
      <w:pPr>
        <w:pStyle w:val="Normal"/>
        <w:ind w:left="765" w:hanging="765"/>
        <w:rPr>
          <w:rFonts w:ascii="Times New Roman" w:hAnsi="Times New Roman"/>
        </w:rPr>
      </w:pPr>
      <w:r>
        <w:rPr>
          <w:b/>
          <w:szCs w:val="24"/>
          <w:u w:val="single"/>
          <w:lang w:val="sr-RS"/>
        </w:rPr>
        <w:t>--</w:t>
      </w:r>
      <w:r>
        <w:rPr>
          <w:b/>
          <w:szCs w:val="24"/>
          <w:u w:val="single"/>
        </w:rPr>
        <w:t>Услови и мере за заштиту од земљотреса</w:t>
      </w:r>
    </w:p>
    <w:p>
      <w:pPr>
        <w:pStyle w:val="Normal"/>
        <w:ind w:firstLine="720"/>
        <w:rPr>
          <w:rFonts w:ascii="Times New Roman" w:hAnsi="Times New Roman"/>
        </w:rPr>
      </w:pPr>
      <w:r>
        <w:rPr>
          <w:szCs w:val="24"/>
        </w:rPr>
        <w:t xml:space="preserve">Планско подручје припрада теренима на којима се могу јавити земљотреси </w:t>
      </w:r>
      <w:r>
        <w:rPr>
          <w:rFonts w:eastAsia="ArialMT"/>
          <w:szCs w:val="24"/>
        </w:rPr>
        <w:t>јачине 8° MCS подразумева строгу примену важећих техничких  прописа за изградњу на сеизмичким подручјима при пројектовању и грађењу планиране саобраћајнице, као и свих осталих објеката дуж коридора.</w:t>
      </w:r>
    </w:p>
    <w:p>
      <w:pPr>
        <w:pStyle w:val="Normal"/>
        <w:ind w:firstLine="720"/>
        <w:rPr>
          <w:rFonts w:ascii="Times New Roman" w:hAnsi="Times New Roman"/>
        </w:rPr>
      </w:pPr>
      <w:r>
        <w:rPr>
          <w:szCs w:val="24"/>
          <w:lang w:val="ru-RU" w:eastAsia="ar-SA"/>
        </w:rPr>
        <w:t>Основну меру заштите од земљотреса представља примена принципа асеизмичког пројектовања објеката, односно примена сигурносних стандарда и техничких прописа о градњи на сеизмичким подручјима.</w:t>
      </w:r>
    </w:p>
    <w:p>
      <w:pPr>
        <w:pStyle w:val="Normal"/>
        <w:ind w:firstLine="720"/>
        <w:rPr>
          <w:rFonts w:ascii="Times New Roman" w:hAnsi="Times New Roman"/>
        </w:rPr>
      </w:pPr>
      <w:r>
        <w:rPr>
          <w:szCs w:val="24"/>
          <w:lang w:val="ru-RU" w:eastAsia="ar-SA"/>
        </w:rPr>
        <w:t xml:space="preserve">Ради заштите од потреса, објекти морају бити реализовани и категорисани према Правилнику о техничким нормативима за изградњу објеката високоградње у сеизмичким подручјима ("Сл. лист СФРЈ", бр. </w:t>
      </w:r>
      <w:r>
        <w:rPr>
          <w:szCs w:val="24"/>
          <w:lang w:eastAsia="ar-SA"/>
        </w:rPr>
        <w:t xml:space="preserve">31/81, 49/82, 29/83, 21/88 </w:t>
      </w:r>
      <w:r>
        <w:rPr>
          <w:szCs w:val="24"/>
          <w:lang w:val="ru-RU" w:eastAsia="ar-SA"/>
        </w:rPr>
        <w:t xml:space="preserve">и </w:t>
      </w:r>
      <w:r>
        <w:rPr>
          <w:szCs w:val="24"/>
          <w:lang w:eastAsia="ar-SA"/>
        </w:rPr>
        <w:t xml:space="preserve">52/90). </w:t>
      </w:r>
    </w:p>
    <w:p>
      <w:pPr>
        <w:pStyle w:val="Normal"/>
        <w:ind w:firstLine="720"/>
        <w:rPr>
          <w:rFonts w:ascii="Times New Roman" w:hAnsi="Times New Roman"/>
        </w:rPr>
      </w:pPr>
      <w:r>
        <w:rPr>
          <w:bCs/>
          <w:szCs w:val="24"/>
          <w:lang w:val="ru-RU"/>
        </w:rPr>
        <w:t xml:space="preserve">У овом подручју могу се очекивати катастрофални земљотреси. У циљу заштите од земљотреса морају се строго поштовати технички прописи о изградњи инвестиционих објеката који се односе на носивост и стабилност терена и објеката. Такође, одговарајуће службе морају имати разрађене планове о евакуацији и забрињавању становништва у случају појаве земљотреса свих интензитета. </w:t>
      </w:r>
    </w:p>
    <w:p>
      <w:pPr>
        <w:pStyle w:val="Normal"/>
        <w:suppressAutoHyphens w:val="false"/>
        <w:ind w:firstLine="425"/>
        <w:textAlignment w:val="center"/>
        <w:rPr>
          <w:rFonts w:ascii="Times New Roman" w:hAnsi="Times New Roman"/>
        </w:rPr>
      </w:pPr>
      <w:r>
        <w:rPr>
          <w:rFonts w:eastAsia="Times New Roman"/>
          <w:szCs w:val="24"/>
          <w:lang w:val="ru-RU"/>
        </w:rPr>
        <w:t>Ризик од повредљивости при сеизмичким разарањима може се смањити примењујући одређене принципе планирања, организације и уређења простора, у првом реду за индустрију и инфраструктуру, као основне компоненте</w:t>
      </w:r>
      <w:r>
        <w:rPr>
          <w:rFonts w:eastAsia="Times New Roman"/>
          <w:szCs w:val="24"/>
        </w:rPr>
        <w:t xml:space="preserve"> предметног </w:t>
      </w:r>
      <w:r>
        <w:rPr>
          <w:rFonts w:eastAsia="Times New Roman"/>
          <w:szCs w:val="24"/>
          <w:lang w:val="ru-RU"/>
        </w:rPr>
        <w:t xml:space="preserve">простора. </w:t>
      </w:r>
    </w:p>
    <w:p>
      <w:pPr>
        <w:pStyle w:val="Normal"/>
        <w:suppressAutoHyphens w:val="false"/>
        <w:rPr>
          <w:rFonts w:ascii="Times New Roman" w:hAnsi="Times New Roman" w:eastAsia="Times New Roman"/>
          <w:color w:val="00B0F0"/>
          <w:szCs w:val="24"/>
        </w:rPr>
      </w:pPr>
      <w:r>
        <w:rPr>
          <w:rFonts w:eastAsia="Times New Roman"/>
          <w:color w:val="00B0F0"/>
          <w:szCs w:val="24"/>
        </w:rPr>
      </w:r>
    </w:p>
    <w:p>
      <w:pPr>
        <w:pStyle w:val="Normal"/>
        <w:suppressAutoHyphens w:val="false"/>
        <w:ind w:firstLine="425"/>
        <w:rPr>
          <w:rFonts w:ascii="Times New Roman" w:hAnsi="Times New Roman"/>
        </w:rPr>
      </w:pPr>
      <w:r>
        <w:rPr>
          <w:rFonts w:eastAsia="Times New Roman"/>
          <w:szCs w:val="24"/>
        </w:rPr>
        <w:t>У циљу заштите од земљотреса треба примењивати следеће смернице:</w:t>
      </w:r>
    </w:p>
    <w:p>
      <w:pPr>
        <w:pStyle w:val="Normal"/>
        <w:numPr>
          <w:ilvl w:val="0"/>
          <w:numId w:val="7"/>
        </w:numPr>
        <w:suppressAutoHyphens w:val="false"/>
        <w:spacing w:before="0" w:after="0"/>
        <w:ind w:left="709" w:hanging="284"/>
        <w:contextualSpacing/>
        <w:rPr>
          <w:rFonts w:ascii="Times New Roman" w:hAnsi="Times New Roman"/>
        </w:rPr>
      </w:pPr>
      <w:r>
        <w:rPr>
          <w:rFonts w:eastAsia="Times New Roman"/>
          <w:szCs w:val="24"/>
        </w:rPr>
        <w:t>обавезна примена важећих сеизмичких прописа при реконструкцији постојећих и изградњи нових објеката;</w:t>
      </w:r>
    </w:p>
    <w:p>
      <w:pPr>
        <w:pStyle w:val="Normal"/>
        <w:numPr>
          <w:ilvl w:val="0"/>
          <w:numId w:val="7"/>
        </w:numPr>
        <w:suppressAutoHyphens w:val="false"/>
        <w:spacing w:before="0" w:after="0"/>
        <w:ind w:left="709" w:hanging="284"/>
        <w:contextualSpacing/>
        <w:rPr>
          <w:rFonts w:ascii="Times New Roman" w:hAnsi="Times New Roman"/>
        </w:rPr>
      </w:pPr>
      <w:r>
        <w:rPr>
          <w:rFonts w:eastAsia="Times New Roman"/>
          <w:szCs w:val="24"/>
        </w:rPr>
        <w:t>обезбедити довољно слободних површина које прожимају изграђене структуре, водећи рачуна да се поштују планирани проценти изграђености парцела, системи изградње, габарити, спратност и темељење објеката;</w:t>
      </w:r>
    </w:p>
    <w:p>
      <w:pPr>
        <w:pStyle w:val="Normal"/>
        <w:numPr>
          <w:ilvl w:val="0"/>
          <w:numId w:val="7"/>
        </w:numPr>
        <w:suppressAutoHyphens w:val="false"/>
        <w:ind w:left="709" w:hanging="283"/>
        <w:rPr>
          <w:rFonts w:ascii="Times New Roman" w:hAnsi="Times New Roman"/>
        </w:rPr>
      </w:pPr>
      <w:r>
        <w:rPr>
          <w:rFonts w:eastAsia="Times New Roman"/>
          <w:szCs w:val="24"/>
        </w:rPr>
        <w:t>главне коридоре комуналне инфраструктуре треба водити дуж саобраћајница и кроз зелене површине увек када је то могуће, кроз за то планиране коридоре и на одговарајућем одстојању од грађевина.</w:t>
      </w:r>
    </w:p>
    <w:p>
      <w:pPr>
        <w:pStyle w:val="Normal"/>
        <w:suppressAutoHyphens w:val="false"/>
        <w:textAlignment w:val="center"/>
        <w:rPr>
          <w:rFonts w:ascii="Times New Roman" w:hAnsi="Times New Roman"/>
        </w:rPr>
      </w:pPr>
      <w:r>
        <w:rPr>
          <w:rFonts w:eastAsia="Times New Roman"/>
          <w:szCs w:val="24"/>
          <w:lang w:val="ru-RU"/>
        </w:rPr>
        <w:t>Превентивне мере заштите у смислу сеизмичности подразумевају:</w:t>
      </w:r>
    </w:p>
    <w:p>
      <w:pPr>
        <w:pStyle w:val="Normal"/>
        <w:numPr>
          <w:ilvl w:val="0"/>
          <w:numId w:val="5"/>
        </w:numPr>
        <w:tabs>
          <w:tab w:val="clear" w:pos="720"/>
          <w:tab w:val="left" w:pos="90" w:leader="none"/>
        </w:tabs>
        <w:suppressAutoHyphens w:val="false"/>
        <w:ind w:left="90" w:hanging="13"/>
        <w:textAlignment w:val="center"/>
        <w:rPr>
          <w:rFonts w:ascii="Times New Roman" w:hAnsi="Times New Roman"/>
        </w:rPr>
      </w:pPr>
      <w:r>
        <w:rPr>
          <w:rFonts w:eastAsia="Times New Roman"/>
          <w:szCs w:val="24"/>
          <w:lang w:val="ru-RU"/>
        </w:rPr>
        <w:t xml:space="preserve">поштовање степена сеизмичности од </w:t>
      </w:r>
      <w:r>
        <w:rPr>
          <w:rFonts w:eastAsia="Times New Roman"/>
          <w:szCs w:val="24"/>
        </w:rPr>
        <w:t>око 8</w:t>
      </w:r>
      <w:r>
        <w:rPr>
          <w:rFonts w:eastAsia="Times New Roman"/>
          <w:szCs w:val="24"/>
          <w:vertAlign w:val="superscript"/>
          <w:lang w:val="ru-RU"/>
        </w:rPr>
        <w:t>0</w:t>
      </w:r>
      <w:r>
        <w:rPr>
          <w:rFonts w:eastAsia="Times New Roman"/>
          <w:szCs w:val="24"/>
          <w:lang w:val="ru-RU"/>
        </w:rPr>
        <w:t xml:space="preserve"> </w:t>
      </w:r>
      <w:r>
        <w:rPr>
          <w:rFonts w:eastAsia="Times New Roman"/>
          <w:szCs w:val="24"/>
        </w:rPr>
        <w:t>MСS</w:t>
      </w:r>
      <w:r>
        <w:rPr>
          <w:rFonts w:eastAsia="Times New Roman"/>
          <w:szCs w:val="24"/>
          <w:lang w:val="ru-RU"/>
        </w:rPr>
        <w:t xml:space="preserve"> приликом пројектовања, извођења или реконструкције објеката, или оног степена сеизмичности за који се посебним сеизмичким истраживањима утврди да је меродаван за </w:t>
      </w:r>
      <w:r>
        <w:rPr>
          <w:rFonts w:eastAsia="Times New Roman"/>
          <w:szCs w:val="24"/>
        </w:rPr>
        <w:t>планско подручје</w:t>
      </w:r>
      <w:r>
        <w:rPr>
          <w:rFonts w:eastAsia="Times New Roman"/>
          <w:szCs w:val="24"/>
          <w:lang w:val="ru-RU"/>
        </w:rPr>
        <w:t>,</w:t>
      </w:r>
    </w:p>
    <w:p>
      <w:pPr>
        <w:pStyle w:val="Normal"/>
        <w:numPr>
          <w:ilvl w:val="0"/>
          <w:numId w:val="5"/>
        </w:numPr>
        <w:tabs>
          <w:tab w:val="clear" w:pos="720"/>
          <w:tab w:val="left" w:pos="90" w:leader="none"/>
        </w:tabs>
        <w:suppressAutoHyphens w:val="false"/>
        <w:ind w:left="90" w:hanging="13"/>
        <w:textAlignment w:val="center"/>
        <w:rPr>
          <w:rFonts w:ascii="Times New Roman" w:hAnsi="Times New Roman"/>
        </w:rPr>
      </w:pPr>
      <w:r>
        <w:rPr>
          <w:rFonts w:eastAsia="Times New Roman"/>
          <w:szCs w:val="24"/>
          <w:lang w:val="ru-RU"/>
        </w:rPr>
        <w:t>поштовање регулације саобраћајница и међусобне удаљености објеката,</w:t>
      </w:r>
    </w:p>
    <w:p>
      <w:pPr>
        <w:pStyle w:val="Normal"/>
        <w:numPr>
          <w:ilvl w:val="0"/>
          <w:numId w:val="5"/>
        </w:numPr>
        <w:tabs>
          <w:tab w:val="clear" w:pos="720"/>
          <w:tab w:val="left" w:pos="90" w:leader="none"/>
        </w:tabs>
        <w:suppressAutoHyphens w:val="false"/>
        <w:ind w:left="90" w:hanging="13"/>
        <w:textAlignment w:val="center"/>
        <w:rPr>
          <w:rFonts w:ascii="Times New Roman" w:hAnsi="Times New Roman"/>
        </w:rPr>
      </w:pPr>
      <w:r>
        <w:rPr>
          <w:rFonts w:eastAsia="Times New Roman"/>
          <w:szCs w:val="24"/>
          <w:lang w:val="ru-RU"/>
        </w:rPr>
        <w:t>обезбеђење оних грађевина чија је функција нарочито важна у периоду после евентуалне катастрофе.</w:t>
      </w:r>
    </w:p>
    <w:p>
      <w:pPr>
        <w:pStyle w:val="Normal"/>
        <w:tabs>
          <w:tab w:val="clear" w:pos="720"/>
          <w:tab w:val="left" w:pos="90" w:leader="none"/>
        </w:tabs>
        <w:suppressAutoHyphens w:val="false"/>
        <w:ind w:left="90" w:hanging="13"/>
        <w:textAlignment w:val="center"/>
        <w:rPr>
          <w:rFonts w:ascii="Times New Roman" w:hAnsi="Times New Roman"/>
        </w:rPr>
      </w:pPr>
      <w:r>
        <w:rPr>
          <w:rFonts w:eastAsia="Times New Roman"/>
          <w:szCs w:val="24"/>
          <w:lang w:val="ru-RU"/>
        </w:rPr>
        <w:t>Инфраструктура је у већој мери подложна повредљивости</w:t>
      </w:r>
      <w:r>
        <w:rPr>
          <w:rFonts w:eastAsia="Times New Roman"/>
          <w:szCs w:val="24"/>
        </w:rPr>
        <w:t xml:space="preserve"> од осталих физичких структура</w:t>
      </w:r>
      <w:r>
        <w:rPr>
          <w:rFonts w:eastAsia="Times New Roman"/>
          <w:szCs w:val="24"/>
          <w:lang w:val="ru-RU"/>
        </w:rPr>
        <w:t xml:space="preserve">. Отуда је нужно предвидети појединачно за сваки од система одговарајуће мере: </w:t>
      </w:r>
    </w:p>
    <w:p>
      <w:pPr>
        <w:pStyle w:val="Normal"/>
        <w:numPr>
          <w:ilvl w:val="0"/>
          <w:numId w:val="6"/>
        </w:numPr>
        <w:tabs>
          <w:tab w:val="clear" w:pos="720"/>
          <w:tab w:val="left" w:pos="360" w:leader="none"/>
        </w:tabs>
        <w:suppressAutoHyphens w:val="false"/>
        <w:ind w:left="90" w:hanging="13"/>
        <w:textAlignment w:val="center"/>
        <w:rPr>
          <w:rFonts w:ascii="Times New Roman" w:hAnsi="Times New Roman"/>
        </w:rPr>
      </w:pPr>
      <w:r>
        <w:rPr>
          <w:rFonts w:eastAsia="Times New Roman"/>
          <w:szCs w:val="24"/>
        </w:rPr>
        <w:t xml:space="preserve">саобраћај: улазно - излазни правци се трасирају на стабилним теренима, главне улице, сабирне и сервисне улице обезбеђују несметано комуницирање. водоснабдевање: главни водовод и секундарна мрежа планирају се са могућношћу искључења појединих деоница у случају оштећења </w:t>
      </w:r>
    </w:p>
    <w:p>
      <w:pPr>
        <w:pStyle w:val="Normal"/>
        <w:numPr>
          <w:ilvl w:val="0"/>
          <w:numId w:val="6"/>
        </w:numPr>
        <w:tabs>
          <w:tab w:val="clear" w:pos="720"/>
          <w:tab w:val="left" w:pos="360" w:leader="none"/>
        </w:tabs>
        <w:suppressAutoHyphens w:val="false"/>
        <w:ind w:left="90" w:hanging="13"/>
        <w:textAlignment w:val="center"/>
        <w:rPr>
          <w:rFonts w:ascii="Times New Roman" w:hAnsi="Times New Roman"/>
        </w:rPr>
      </w:pPr>
      <w:r>
        <w:rPr>
          <w:rFonts w:eastAsia="Times New Roman"/>
          <w:szCs w:val="24"/>
          <w:lang w:val="ru-RU"/>
        </w:rPr>
        <w:t xml:space="preserve">каналисање отпадних вода: код евентуалног оштећења канализације постоји могућност да раде поједине функционалне целине; </w:t>
      </w:r>
    </w:p>
    <w:p>
      <w:pPr>
        <w:pStyle w:val="Normal"/>
        <w:numPr>
          <w:ilvl w:val="0"/>
          <w:numId w:val="6"/>
        </w:numPr>
        <w:tabs>
          <w:tab w:val="clear" w:pos="720"/>
          <w:tab w:val="left" w:pos="360" w:leader="none"/>
        </w:tabs>
        <w:suppressAutoHyphens w:val="false"/>
        <w:ind w:left="90" w:hanging="13"/>
        <w:textAlignment w:val="center"/>
        <w:rPr>
          <w:rFonts w:ascii="Times New Roman" w:hAnsi="Times New Roman"/>
        </w:rPr>
      </w:pPr>
      <w:r>
        <w:rPr>
          <w:rFonts w:eastAsia="Times New Roman"/>
          <w:szCs w:val="24"/>
          <w:lang w:val="ru-RU"/>
        </w:rPr>
        <w:t>електродистрибутивна мрежа, као и систем трафостаница (10/0,4</w:t>
      </w:r>
      <w:r>
        <w:rPr>
          <w:rFonts w:eastAsia="Times New Roman"/>
          <w:szCs w:val="24"/>
        </w:rPr>
        <w:t>kV</w:t>
      </w:r>
      <w:r>
        <w:rPr>
          <w:rFonts w:eastAsia="Times New Roman"/>
          <w:szCs w:val="24"/>
          <w:lang w:val="ru-RU"/>
        </w:rPr>
        <w:t xml:space="preserve">), су дисперговани у простору, распоређени по зонама, везани у прстенове и полупрстенове, на такав начин да се могу у ванредним условима искључивати по сегментима; каблирање високонапонских водова је нужно </w:t>
      </w:r>
      <w:r>
        <w:rPr>
          <w:rFonts w:eastAsia="Times New Roman"/>
          <w:szCs w:val="24"/>
        </w:rPr>
        <w:t>због</w:t>
      </w:r>
      <w:r>
        <w:rPr>
          <w:rFonts w:eastAsia="Times New Roman"/>
          <w:szCs w:val="24"/>
          <w:lang w:val="ru-RU"/>
        </w:rPr>
        <w:t xml:space="preserve"> безбедости у ванредним условима</w:t>
      </w:r>
    </w:p>
    <w:p>
      <w:pPr>
        <w:pStyle w:val="Normal"/>
        <w:numPr>
          <w:ilvl w:val="0"/>
          <w:numId w:val="6"/>
        </w:numPr>
        <w:suppressAutoHyphens w:val="false"/>
        <w:ind w:left="0" w:hanging="0"/>
        <w:textAlignment w:val="center"/>
        <w:rPr>
          <w:rFonts w:ascii="Times New Roman" w:hAnsi="Times New Roman"/>
        </w:rPr>
      </w:pPr>
      <w:r>
        <w:rPr>
          <w:rFonts w:eastAsia="Times New Roman"/>
          <w:szCs w:val="24"/>
          <w:lang w:val="ru-RU"/>
        </w:rPr>
        <w:t>телефонск</w:t>
      </w:r>
      <w:r>
        <w:rPr>
          <w:rFonts w:eastAsia="Times New Roman"/>
          <w:szCs w:val="24"/>
        </w:rPr>
        <w:t>а веза</w:t>
      </w:r>
      <w:r>
        <w:rPr>
          <w:rFonts w:eastAsia="Times New Roman"/>
          <w:szCs w:val="24"/>
          <w:lang w:val="ru-RU"/>
        </w:rPr>
        <w:t xml:space="preserve"> се планира тако да се обезбеде алтернативне везе, у случају прекида у појединим линијама у ванредним условима. </w:t>
      </w:r>
    </w:p>
    <w:p>
      <w:pPr>
        <w:pStyle w:val="Normal"/>
        <w:suppressAutoHyphens w:val="false"/>
        <w:ind w:firstLine="357"/>
        <w:textAlignment w:val="center"/>
        <w:rPr>
          <w:rFonts w:ascii="Times New Roman" w:hAnsi="Times New Roman"/>
        </w:rPr>
      </w:pPr>
      <w:r>
        <w:rPr>
          <w:rFonts w:eastAsia="Times New Roman"/>
          <w:szCs w:val="24"/>
        </w:rPr>
        <w:t xml:space="preserve">Обавеза је да се код пројектовања и изградње свих категорија објеката високоградње стриктно треба придржавати одредби Правилника о техничким нормативима за изградњу објеката високоградње у сеизмичким подручјима („Сл. лист СФРЈ“, бр. 31/81, 49/82, 29/83, 21/88 и 52/90), а код пројектовања предвиђених надградњи и доградњи </w:t>
      </w:r>
      <w:r>
        <w:rPr>
          <w:rFonts w:eastAsia="Times New Roman"/>
          <w:szCs w:val="24"/>
          <w:lang w:val="sr-RS"/>
        </w:rPr>
        <w:t xml:space="preserve">применити </w:t>
      </w:r>
      <w:r>
        <w:rPr>
          <w:rFonts w:eastAsia="Times New Roman"/>
          <w:szCs w:val="24"/>
        </w:rPr>
        <w:t>Правилник за грађевинске конструкције</w:t>
      </w:r>
      <w:r>
        <w:rPr>
          <w:rFonts w:eastAsia="Times New Roman"/>
          <w:szCs w:val="24"/>
          <w:lang w:val="sr-RS"/>
        </w:rPr>
        <w:t xml:space="preserve"> (</w:t>
      </w:r>
      <w:r>
        <w:rPr>
          <w:rFonts w:eastAsia="Times New Roman"/>
          <w:szCs w:val="24"/>
        </w:rPr>
        <w:t>,,</w:t>
      </w:r>
      <w:r>
        <w:rPr>
          <w:rFonts w:eastAsia="Times New Roman"/>
          <w:szCs w:val="24"/>
          <w:lang w:val="sr-RS"/>
        </w:rPr>
        <w:t xml:space="preserve">Службени гласник РС“, бр.  </w:t>
      </w:r>
      <w:r>
        <w:rPr>
          <w:rFonts w:eastAsia="Times New Roman"/>
          <w:szCs w:val="24"/>
        </w:rPr>
        <w:t>89/2019, 52/2020, 122/2020</w:t>
      </w:r>
      <w:r>
        <w:rPr>
          <w:rFonts w:eastAsia="Times New Roman"/>
          <w:szCs w:val="24"/>
          <w:lang w:val="sr-RS"/>
        </w:rPr>
        <w:t>)</w:t>
      </w:r>
      <w:r>
        <w:rPr>
          <w:rFonts w:eastAsia="Times New Roman"/>
          <w:szCs w:val="24"/>
        </w:rPr>
        <w:t xml:space="preserve">. </w:t>
      </w:r>
    </w:p>
    <w:p>
      <w:pPr>
        <w:pStyle w:val="Normal"/>
        <w:suppressAutoHyphens w:val="false"/>
        <w:ind w:firstLine="357"/>
        <w:textAlignment w:val="center"/>
        <w:rPr>
          <w:rFonts w:ascii="Times New Roman" w:hAnsi="Times New Roman"/>
        </w:rPr>
      </w:pPr>
      <w:r>
        <w:rPr>
          <w:rFonts w:eastAsia="Times New Roman"/>
          <w:szCs w:val="24"/>
          <w:lang w:val="ru-RU"/>
        </w:rPr>
        <w:t xml:space="preserve">Поред тога, </w:t>
      </w:r>
      <w:r>
        <w:rPr>
          <w:rFonts w:eastAsia="Times New Roman"/>
          <w:bCs/>
          <w:szCs w:val="24"/>
          <w:lang w:val="ru-RU"/>
        </w:rPr>
        <w:t>на свим теренима са смањеном стабилношћу обавезно се спроводе посебна инжењерско - геолошка, сеизмичка и геофизичка испитивања терена на којима ће се градити поједини објекти.</w:t>
      </w:r>
    </w:p>
    <w:p>
      <w:pPr>
        <w:pStyle w:val="Normal"/>
        <w:suppressAutoHyphens w:val="false"/>
        <w:ind w:firstLine="357"/>
        <w:textAlignment w:val="center"/>
        <w:rPr>
          <w:rFonts w:ascii="Times New Roman" w:hAnsi="Times New Roman"/>
          <w:szCs w:val="24"/>
        </w:rPr>
      </w:pPr>
      <w:r>
        <w:rPr>
          <w:szCs w:val="24"/>
        </w:rPr>
      </w:r>
    </w:p>
    <w:p>
      <w:pPr>
        <w:pStyle w:val="Normal"/>
        <w:suppressAutoHyphens w:val="false"/>
        <w:ind w:firstLine="357"/>
        <w:textAlignment w:val="center"/>
        <w:rPr>
          <w:rFonts w:ascii="Times New Roman" w:hAnsi="Times New Roman"/>
          <w:szCs w:val="24"/>
        </w:rPr>
      </w:pPr>
      <w:r>
        <w:rPr>
          <w:szCs w:val="24"/>
        </w:rPr>
      </w:r>
    </w:p>
    <w:p>
      <w:pPr>
        <w:pStyle w:val="Normal"/>
        <w:suppressAutoHyphens w:val="false"/>
        <w:ind w:firstLine="357"/>
        <w:textAlignment w:val="center"/>
        <w:rPr>
          <w:rFonts w:ascii="Times New Roman" w:hAnsi="Times New Roman"/>
          <w:szCs w:val="24"/>
        </w:rPr>
      </w:pPr>
      <w:r>
        <w:rPr>
          <w:szCs w:val="24"/>
        </w:rPr>
      </w:r>
    </w:p>
    <w:p>
      <w:pPr>
        <w:pStyle w:val="Normal"/>
        <w:suppressAutoHyphens w:val="false"/>
        <w:ind w:firstLine="357"/>
        <w:textAlignment w:val="center"/>
        <w:rPr>
          <w:rFonts w:ascii="Times New Roman" w:hAnsi="Times New Roman"/>
          <w:szCs w:val="24"/>
        </w:rPr>
      </w:pPr>
      <w:r>
        <w:rPr>
          <w:szCs w:val="24"/>
        </w:rPr>
      </w:r>
    </w:p>
    <w:p>
      <w:pPr>
        <w:pStyle w:val="Normal"/>
        <w:rPr>
          <w:rFonts w:ascii="Times New Roman" w:hAnsi="Times New Roman"/>
        </w:rPr>
      </w:pPr>
      <w:r>
        <w:rPr>
          <w:b/>
          <w:szCs w:val="24"/>
          <w:u w:val="single"/>
          <w:lang w:val="sr-RS"/>
        </w:rPr>
        <w:t>--</w:t>
      </w:r>
      <w:r>
        <w:rPr>
          <w:b/>
          <w:szCs w:val="24"/>
          <w:u w:val="single"/>
        </w:rPr>
        <w:t>Услови и мере за заштиту од пожара</w:t>
      </w:r>
    </w:p>
    <w:p>
      <w:pPr>
        <w:pStyle w:val="Normal"/>
        <w:ind w:firstLine="426"/>
        <w:rPr>
          <w:rFonts w:ascii="Times New Roman" w:hAnsi="Times New Roman"/>
        </w:rPr>
      </w:pPr>
      <w:r>
        <w:rPr>
          <w:szCs w:val="24"/>
        </w:rPr>
        <w:t xml:space="preserve">На основу </w:t>
      </w:r>
      <w:r>
        <w:rPr>
          <w:b/>
          <w:bCs/>
          <w:szCs w:val="24"/>
        </w:rPr>
        <w:t xml:space="preserve">услова Министарства </w:t>
      </w:r>
      <w:r>
        <w:rPr>
          <w:b/>
          <w:bCs/>
          <w:szCs w:val="24"/>
          <w:lang w:val="sr-RS"/>
        </w:rPr>
        <w:t>унутрашњих послова , Сектор за ванредне ситуације, Управа за ванредне ситуације  Ниш  07.19.2.1. број 217-3316/23-1, дана 30.10.2023.г.</w:t>
      </w:r>
    </w:p>
    <w:p>
      <w:pPr>
        <w:pStyle w:val="Normal"/>
        <w:rPr>
          <w:rFonts w:ascii="Times New Roman" w:hAnsi="Times New Roman"/>
          <w:szCs w:val="24"/>
        </w:rPr>
      </w:pPr>
      <w:r>
        <w:rPr>
          <w:szCs w:val="24"/>
        </w:rPr>
      </w:r>
    </w:p>
    <w:p>
      <w:pPr>
        <w:pStyle w:val="Normal"/>
        <w:suppressAutoHyphens w:val="false"/>
        <w:ind w:firstLine="425"/>
        <w:rPr>
          <w:rFonts w:ascii="Times New Roman" w:hAnsi="Times New Roman"/>
        </w:rPr>
      </w:pPr>
      <w:r>
        <w:rPr>
          <w:rFonts w:eastAsia="Times New Roman"/>
          <w:szCs w:val="24"/>
        </w:rPr>
        <w:t>Да би се обезбедила заштита од пожара потребно је примењивати следеће смернице:</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при изградњи објеката поштовати важеће прописе противпожарне заштите;</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lang w:val="sr-RS"/>
        </w:rPr>
        <w:t>обезбедити довољне количине воде за гашење пожара;</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правилним размештајем објеката на прописаним одстојањима од суседних објеката смањити опасност преношења пожара;</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правилном диспозицијом објеката у односу на саобраћајнице обезбедити несметан приступ противпожарних возила;</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омогућити правовремен и несметан приступ ватрогасних возила до објеката;</w:t>
      </w:r>
    </w:p>
    <w:p>
      <w:pPr>
        <w:pStyle w:val="Normal"/>
        <w:numPr>
          <w:ilvl w:val="0"/>
          <w:numId w:val="9"/>
        </w:numPr>
        <w:suppressAutoHyphens w:val="false"/>
        <w:ind w:left="0" w:firstLine="425"/>
        <w:rPr>
          <w:rFonts w:ascii="Times New Roman" w:hAnsi="Times New Roman"/>
        </w:rPr>
      </w:pPr>
      <w:r>
        <w:rPr>
          <w:bCs/>
          <w:szCs w:val="24"/>
          <w:lang w:val="ru-RU"/>
        </w:rPr>
        <w:t>Предвидети ширине и носивости путева који ће да омогуће приступ ватрогасном возилу и његово маневрисање приликом гашења пожара, у складу са Правилником о техничким нормативима за приступне путеве, окретнице и уређене платое за ватрогасна возила у близини објеката повећаног ризика од пожара (</w:t>
      </w:r>
      <w:r>
        <w:rPr>
          <w:rFonts w:eastAsia="CIDFont+F5"/>
          <w:bCs/>
          <w:szCs w:val="24"/>
          <w:lang w:val="ru-RU"/>
        </w:rPr>
        <w:t>“</w:t>
      </w:r>
      <w:r>
        <w:rPr>
          <w:bCs/>
          <w:szCs w:val="24"/>
          <w:lang w:val="ru-RU"/>
        </w:rPr>
        <w:t xml:space="preserve">Сл. </w:t>
      </w:r>
      <w:r>
        <w:rPr>
          <w:bCs/>
          <w:szCs w:val="24"/>
          <w:lang w:val="sr-RS"/>
        </w:rPr>
        <w:t>л</w:t>
      </w:r>
      <w:r>
        <w:rPr>
          <w:bCs/>
          <w:szCs w:val="24"/>
          <w:lang w:val="ru-RU"/>
        </w:rPr>
        <w:t>ист</w:t>
      </w:r>
      <w:r>
        <w:rPr>
          <w:rFonts w:eastAsia="CIDFont+F5"/>
          <w:bCs/>
          <w:szCs w:val="24"/>
          <w:lang w:val="ru-RU"/>
        </w:rPr>
        <w:t xml:space="preserve">” </w:t>
      </w:r>
      <w:r>
        <w:rPr>
          <w:bCs/>
          <w:szCs w:val="24"/>
          <w:lang w:val="ru-RU"/>
        </w:rPr>
        <w:t xml:space="preserve">бр.8/95) </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лако запаљиве и експлозивне материје складиштити и чувати под законом прописаним условима, уз одговарајућу сагласност надлежних органа на планиране мере заштите од пожара;</w:t>
      </w:r>
    </w:p>
    <w:p>
      <w:pPr>
        <w:pStyle w:val="Normal"/>
        <w:numPr>
          <w:ilvl w:val="0"/>
          <w:numId w:val="9"/>
        </w:numPr>
        <w:suppressAutoHyphens w:val="false"/>
        <w:ind w:left="0" w:firstLine="425"/>
        <w:rPr>
          <w:rFonts w:ascii="Times New Roman" w:hAnsi="Times New Roman"/>
        </w:rPr>
      </w:pPr>
      <w:r>
        <w:rPr>
          <w:bCs/>
          <w:szCs w:val="24"/>
          <w:lang w:val="ru-RU"/>
        </w:rPr>
        <w:t xml:space="preserve">Предвидети прописана растојања између објеката и инсталација: електро, ТТ, водовода и канализације. </w:t>
      </w:r>
    </w:p>
    <w:p>
      <w:pPr>
        <w:pStyle w:val="Normal"/>
        <w:numPr>
          <w:ilvl w:val="0"/>
          <w:numId w:val="9"/>
        </w:numPr>
        <w:suppressAutoHyphens w:val="false"/>
        <w:spacing w:before="0" w:after="0"/>
        <w:ind w:left="0" w:firstLine="425"/>
        <w:contextualSpacing/>
        <w:rPr>
          <w:rFonts w:ascii="Times New Roman" w:hAnsi="Times New Roman"/>
        </w:rPr>
      </w:pPr>
      <w:r>
        <w:rPr>
          <w:rFonts w:eastAsia="Times New Roman"/>
          <w:szCs w:val="24"/>
        </w:rPr>
        <w:t>у склопу изградње мреже водоводних инсталација реализовати противпожарне хидранте;</w:t>
      </w:r>
    </w:p>
    <w:p>
      <w:pPr>
        <w:pStyle w:val="Normal"/>
        <w:numPr>
          <w:ilvl w:val="0"/>
          <w:numId w:val="9"/>
        </w:numPr>
        <w:suppressAutoHyphens w:val="false"/>
        <w:ind w:left="0" w:firstLine="425"/>
        <w:rPr>
          <w:rFonts w:ascii="Times New Roman" w:hAnsi="Times New Roman"/>
        </w:rPr>
      </w:pPr>
      <w:r>
        <w:rPr>
          <w:rFonts w:eastAsia="Times New Roman"/>
          <w:szCs w:val="24"/>
        </w:rPr>
        <w:t>обезбедити капацитет водоводне мреже који обезбеђује довољне количине воде за гашење пожара.</w:t>
      </w:r>
    </w:p>
    <w:p>
      <w:pPr>
        <w:pStyle w:val="Normal"/>
        <w:ind w:firstLine="426"/>
        <w:rPr>
          <w:rFonts w:ascii="Times New Roman" w:hAnsi="Times New Roman"/>
        </w:rPr>
      </w:pPr>
      <w:r>
        <w:rPr>
          <w:rFonts w:eastAsia="CIDFont+F5"/>
          <w:szCs w:val="24"/>
        </w:rPr>
        <w:t>Пре издавања локацијских услова потребно је од стране органа надлежног за заштиту од пожара прибавити посебне услове у погледу мера заштите од пожара и експлозија за безбедно постављање објеката са запаљивим и горивим течностима и запаљивим гасовима у складу са одредбама чл.6 Закона о запаљивим и горивим течностима и запаљивим гасовима (“Сл. гласник РС” бр.54/</w:t>
      </w:r>
      <w:r>
        <w:rPr>
          <w:rFonts w:eastAsia="CIDFont+F5"/>
          <w:szCs w:val="24"/>
          <w:lang w:val="sr-RS"/>
        </w:rPr>
        <w:t>20</w:t>
      </w:r>
      <w:r>
        <w:rPr>
          <w:rFonts w:eastAsia="CIDFont+F5"/>
          <w:szCs w:val="24"/>
        </w:rPr>
        <w:t xml:space="preserve">15) и одредбама чл. 16 став 1 Уредбе о локацијским условима (“Сл. гласник РС” бр. </w:t>
      </w:r>
      <w:r>
        <w:rPr>
          <w:rFonts w:eastAsia="CIDFont+F5"/>
          <w:szCs w:val="24"/>
          <w:lang w:val="sr-RS"/>
        </w:rPr>
        <w:t>87/2023</w:t>
      </w:r>
      <w:r>
        <w:rPr>
          <w:rFonts w:eastAsia="CIDFont+F5"/>
          <w:szCs w:val="24"/>
        </w:rPr>
        <w:t xml:space="preserve">). </w:t>
      </w:r>
    </w:p>
    <w:p>
      <w:pPr>
        <w:pStyle w:val="Normal"/>
        <w:ind w:firstLine="426"/>
        <w:rPr>
          <w:rFonts w:ascii="Times New Roman" w:hAnsi="Times New Roman"/>
        </w:rPr>
      </w:pPr>
      <w:r>
        <w:rPr>
          <w:rFonts w:eastAsia="CIDFont+F5"/>
          <w:szCs w:val="24"/>
        </w:rPr>
        <w:t>У поступку прибављања локацијских услова потребно је од стране органа надлежног за заштиту од пожара прибавити посебне услове у погледу мера заштите од пожара и експлозија сходно члану 16 став 2 Уредбе о локацијским условима (“Сл. гласник РС” бр.</w:t>
      </w:r>
      <w:r>
        <w:rPr>
          <w:rFonts w:eastAsia="CIDFont+F5" w:cs="Times New Roman"/>
          <w:color w:val="auto"/>
          <w:kern w:val="0"/>
          <w:sz w:val="24"/>
          <w:szCs w:val="24"/>
          <w:lang w:val="sr-RS" w:eastAsia="en-US" w:bidi="ar-SA"/>
        </w:rPr>
        <w:t>87/2023</w:t>
      </w:r>
      <w:r>
        <w:rPr>
          <w:rFonts w:eastAsia="CIDFont+F5"/>
          <w:szCs w:val="24"/>
        </w:rPr>
        <w:t>) узимајући у обзир да због специфичности објекта ПДР не може садржати све неопходне могућностио, ограничења и услове за изградњу објекта, односно све услове заштите од пожара и експлозија.</w:t>
      </w:r>
    </w:p>
    <w:p>
      <w:pPr>
        <w:pStyle w:val="Normal"/>
        <w:ind w:firstLine="426"/>
        <w:rPr>
          <w:rFonts w:ascii="Times New Roman" w:hAnsi="Times New Roman"/>
        </w:rPr>
      </w:pPr>
      <w:r>
        <w:rPr>
          <w:rFonts w:eastAsia="CIDFont+F5"/>
          <w:szCs w:val="24"/>
        </w:rPr>
        <w:t xml:space="preserve">У погледу обезбеђења испуњености основних захтева заштите од пожара приликом пројектовања и изградње објеката и то на начин утврђен посебним прописима и стандардима којима је уређена област заштите од пожара и експлозија и проценом ризика од пожара којом су исказане мере заштите од пожара за конструкцију, материјале, инсталације и опремање заштитним системима и уређајима,објекти морају бити изведени у складу са Законом о заштити од пожара. </w:t>
      </w:r>
    </w:p>
    <w:p>
      <w:pPr>
        <w:pStyle w:val="Normal"/>
        <w:rPr>
          <w:rFonts w:ascii="Times New Roman" w:hAnsi="Times New Roman"/>
        </w:rPr>
      </w:pPr>
      <w:r>
        <w:rPr>
          <w:rFonts w:eastAsia="CIDFont+F5"/>
          <w:szCs w:val="24"/>
        </w:rPr>
        <w:t xml:space="preserve">Фазну градњу, уколико ће градња трајати дуже, предвидети на начин да свака фаза представља техничко-технолошку целину, која може самостално да се користи. </w:t>
      </w:r>
    </w:p>
    <w:p>
      <w:pPr>
        <w:pStyle w:val="Normal"/>
        <w:ind w:firstLine="360"/>
        <w:rPr>
          <w:rFonts w:ascii="Times New Roman" w:hAnsi="Times New Roman"/>
        </w:rPr>
      </w:pPr>
      <w:r>
        <w:rPr>
          <w:szCs w:val="24"/>
        </w:rPr>
        <w:t>У складу са наведеним, ради заштите од пожара објекти морају бити реализовани према одговарајућим техничким противпожарним прописима, стандардима и нормативима</w:t>
      </w:r>
      <w:r>
        <w:rPr>
          <w:szCs w:val="24"/>
          <w:lang w:val="sr-RS"/>
        </w:rPr>
        <w:t xml:space="preserve"> и у складу са</w:t>
      </w:r>
      <w:r>
        <w:rPr>
          <w:szCs w:val="24"/>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szCs w:val="24"/>
        </w:rPr>
        <w:t xml:space="preserve"> </w:t>
      </w:r>
      <w:r>
        <w:rPr>
          <w:szCs w:val="24"/>
        </w:rPr>
        <w:t xml:space="preserve">Законом о заштити од пожара („Сл. гласник РС“ бр. 111/09, 20/15, 87/18 </w:t>
      </w:r>
      <w:r>
        <w:rPr>
          <w:szCs w:val="24"/>
          <w:lang w:val="sr-RS"/>
        </w:rPr>
        <w:t>и 87/18 – др. закони</w:t>
      </w:r>
      <w:r>
        <w:rPr>
          <w:szCs w:val="24"/>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szCs w:val="24"/>
        </w:rPr>
        <w:t xml:space="preserve"> </w:t>
      </w:r>
      <w:r>
        <w:rPr>
          <w:szCs w:val="24"/>
        </w:rPr>
        <w:t xml:space="preserve">објекти морају имати одговарајућу хидрантску мрежу, која се протоку и притиску воде у мрежи планира и пројектује према Правилнику о техничким нормативима за спољну и унутрашњу хидрантску мрежу за гашење пожара („Сл. </w:t>
      </w:r>
      <w:r>
        <w:rPr>
          <w:rFonts w:eastAsia="" w:cs="Times New Roman" w:eastAsiaTheme="minorEastAsia"/>
          <w:color w:val="auto"/>
          <w:kern w:val="0"/>
          <w:sz w:val="24"/>
          <w:szCs w:val="24"/>
          <w:lang w:val="sr-RS" w:eastAsia="en-US" w:bidi="ar-SA"/>
        </w:rPr>
        <w:t>Гласник РС“, бр. 3/2018</w:t>
      </w:r>
      <w:r>
        <w:rPr>
          <w:szCs w:val="24"/>
        </w:rPr>
        <w:t>)</w:t>
      </w:r>
      <w:r>
        <w:rPr>
          <w:szCs w:val="24"/>
          <w:lang w:val="sr-RS"/>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szCs w:val="24"/>
        </w:rPr>
        <w:t>објектима мора бити обезбеђен приступни пут за ватрогасна возила, сходно Правилнику о техничким нормативима за приступне путеве („Сл. лист СРЈ“ бр 8/95)</w:t>
      </w:r>
      <w:r>
        <w:rPr>
          <w:szCs w:val="24"/>
          <w:lang w:val="sr-RS"/>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szCs w:val="24"/>
        </w:rPr>
        <w:t>Одлукама о техничким нормативима за електричне инсталације ниског напона („Сл. лист СФРЈ“ бр. 53/</w:t>
      </w:r>
      <w:r>
        <w:rPr>
          <w:szCs w:val="24"/>
          <w:lang w:val="sr-RS"/>
        </w:rPr>
        <w:t xml:space="preserve">88 и </w:t>
      </w:r>
      <w:r>
        <w:rPr>
          <w:szCs w:val="24"/>
        </w:rPr>
        <w:t>54/88 –</w:t>
      </w:r>
      <w:r>
        <w:rPr>
          <w:szCs w:val="24"/>
          <w:lang w:val="sr-RS"/>
        </w:rPr>
        <w:t xml:space="preserve"> испр. и „Сл. Лист СРЈ“, бр.</w:t>
      </w:r>
      <w:r>
        <w:rPr>
          <w:szCs w:val="24"/>
        </w:rPr>
        <w:t xml:space="preserve">28/95), Правилником о техничким нормативима за заштиту објеката од атмосферског пражњења </w:t>
      </w:r>
      <w:r>
        <w:rPr>
          <w:rFonts w:eastAsia="CIDFont+F5"/>
          <w:szCs w:val="24"/>
        </w:rPr>
        <w:t>(“Сл. лист СРЈ”, бр.11/96)</w:t>
      </w:r>
      <w:r>
        <w:rPr>
          <w:rFonts w:eastAsia="CIDFont+F5"/>
          <w:szCs w:val="24"/>
          <w:lang w:val="sr-RS"/>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rFonts w:eastAsia="CIDFont+F5"/>
          <w:szCs w:val="24"/>
        </w:rPr>
        <w:t>Правилником о техничким нормативим за заштиту складишта од пожара и експлозија (“Сл. лист СФРЈ”, бр.24/87)</w:t>
      </w:r>
      <w:r>
        <w:rPr>
          <w:rFonts w:eastAsia="CIDFont+F5"/>
          <w:szCs w:val="24"/>
          <w:lang w:val="sr-RS"/>
        </w:rPr>
        <w:t>;</w:t>
      </w:r>
    </w:p>
    <w:p>
      <w:pPr>
        <w:pStyle w:val="Normal"/>
        <w:numPr>
          <w:ilvl w:val="0"/>
          <w:numId w:val="8"/>
        </w:numPr>
        <w:tabs>
          <w:tab w:val="clear" w:pos="720"/>
          <w:tab w:val="left" w:pos="90" w:leader="none"/>
        </w:tabs>
        <w:suppressAutoHyphens w:val="false"/>
        <w:ind w:left="0" w:hanging="0"/>
        <w:rPr>
          <w:rFonts w:ascii="Times New Roman" w:hAnsi="Times New Roman"/>
        </w:rPr>
      </w:pPr>
      <w:r>
        <w:rPr>
          <w:rFonts w:eastAsia="CIDFont+F5"/>
          <w:szCs w:val="24"/>
        </w:rPr>
        <w:t>Правилником о техничким нормативима за заштиту нисконапонске мреже и припадајућих трансформаторских станица (“Сл. лист СФРЈ”, бр. 13/78 и “</w:t>
      </w:r>
      <w:r>
        <w:rPr>
          <w:rFonts w:eastAsia="CIDFont+F5"/>
          <w:szCs w:val="24"/>
          <w:lang w:val="sr-RS"/>
        </w:rPr>
        <w:t>Сл. лист СРЈ“, бр.</w:t>
      </w:r>
      <w:r>
        <w:rPr>
          <w:rFonts w:eastAsia="CIDFont+F5"/>
          <w:szCs w:val="24"/>
        </w:rPr>
        <w:t xml:space="preserve"> 37/95)</w:t>
      </w:r>
      <w:r>
        <w:rPr>
          <w:rFonts w:eastAsia="CIDFont+F5"/>
          <w:szCs w:val="24"/>
          <w:lang w:val="sr-RS"/>
        </w:rPr>
        <w:t>;</w:t>
      </w:r>
      <w:r>
        <w:rPr>
          <w:rFonts w:eastAsia="CIDFont+F5"/>
          <w:szCs w:val="24"/>
        </w:rPr>
        <w:t xml:space="preserve"> </w:t>
      </w:r>
    </w:p>
    <w:p>
      <w:pPr>
        <w:pStyle w:val="Normal"/>
        <w:numPr>
          <w:ilvl w:val="0"/>
          <w:numId w:val="8"/>
        </w:numPr>
        <w:tabs>
          <w:tab w:val="clear" w:pos="720"/>
          <w:tab w:val="left" w:pos="90" w:leader="none"/>
        </w:tabs>
        <w:suppressAutoHyphens w:val="false"/>
        <w:ind w:left="0" w:hanging="0"/>
        <w:rPr>
          <w:rFonts w:ascii="Times New Roman" w:hAnsi="Times New Roman"/>
        </w:rPr>
      </w:pPr>
      <w:r>
        <w:rPr>
          <w:rFonts w:eastAsia="CIDFont+F5"/>
          <w:szCs w:val="24"/>
        </w:rPr>
        <w:t>Правилником о техничким мерама за погон и одржавање електроенергетских постројења и водова (“Сл. лист СРЈ”, бр.41/93).</w:t>
      </w:r>
    </w:p>
    <w:p>
      <w:pPr>
        <w:pStyle w:val="Normal"/>
        <w:tabs>
          <w:tab w:val="clear" w:pos="720"/>
          <w:tab w:val="left" w:pos="90" w:leader="none"/>
        </w:tabs>
        <w:rPr>
          <w:rFonts w:ascii="Times New Roman" w:hAnsi="Times New Roman"/>
          <w:b/>
          <w:b/>
          <w:color w:val="00B0F0"/>
          <w:szCs w:val="24"/>
          <w:u w:val="single"/>
        </w:rPr>
      </w:pPr>
      <w:r>
        <w:rPr>
          <w:b/>
          <w:color w:val="00B0F0"/>
          <w:szCs w:val="24"/>
          <w:u w:val="single"/>
        </w:rPr>
      </w:r>
    </w:p>
    <w:p>
      <w:pPr>
        <w:pStyle w:val="Normal"/>
        <w:ind w:left="765" w:hanging="765"/>
        <w:rPr>
          <w:rFonts w:ascii="Times New Roman" w:hAnsi="Times New Roman"/>
        </w:rPr>
      </w:pPr>
      <w:r>
        <w:rPr>
          <w:b/>
          <w:szCs w:val="24"/>
          <w:u w:val="single"/>
          <w:lang w:val="sr-RS"/>
        </w:rPr>
        <w:t>--</w:t>
      </w:r>
      <w:r>
        <w:rPr>
          <w:b/>
          <w:szCs w:val="24"/>
          <w:u w:val="single"/>
        </w:rPr>
        <w:t xml:space="preserve">Услови и мере за заштиту од поплава и ерозије </w:t>
      </w:r>
    </w:p>
    <w:p>
      <w:pPr>
        <w:pStyle w:val="Normal"/>
        <w:ind w:firstLine="708"/>
        <w:rPr>
          <w:rFonts w:ascii="Times New Roman" w:hAnsi="Times New Roman"/>
        </w:rPr>
      </w:pPr>
      <w:r>
        <w:rPr>
          <w:bCs/>
          <w:color w:val="000000" w:themeColor="text1"/>
          <w:szCs w:val="24"/>
          <w:lang w:val="ru-RU"/>
        </w:rPr>
        <w:t xml:space="preserve">У периодима већих падавина, отапања снега и слично, подручја око водотокова могу локално бити угрожена у периодима већег протицаја и вишег водостаја, када су и могућности за еродовањем земљишног слоја на обалама више могуће. С обзиром на хидрауличку повезаност вода водотока са подземним водама у окружењу, могућа су издизања нивоа подземних вода која могу довести до плављења терена. </w:t>
      </w:r>
    </w:p>
    <w:p>
      <w:pPr>
        <w:pStyle w:val="Normal"/>
        <w:ind w:firstLine="334"/>
        <w:rPr>
          <w:rFonts w:ascii="Times New Roman" w:hAnsi="Times New Roman"/>
          <w:color w:val="FF0000"/>
          <w:szCs w:val="24"/>
        </w:rPr>
      </w:pPr>
      <w:r>
        <w:rPr>
          <w:color w:val="FF0000"/>
          <w:szCs w:val="24"/>
        </w:rPr>
      </w:r>
    </w:p>
    <w:p>
      <w:pPr>
        <w:pStyle w:val="Normal"/>
        <w:ind w:firstLine="334"/>
        <w:rPr>
          <w:rFonts w:ascii="Times New Roman" w:hAnsi="Times New Roman"/>
        </w:rPr>
      </w:pPr>
      <w:r>
        <w:rPr>
          <w:szCs w:val="24"/>
        </w:rPr>
        <w:t xml:space="preserve">За подручје Плана, пре даљег ангажовања простора, потребно је рачунати да се на овом простору мора извршити одговарајућа дренажа у сврхе одводњавања терена. </w:t>
      </w:r>
    </w:p>
    <w:p>
      <w:pPr>
        <w:pStyle w:val="Normal"/>
        <w:rPr>
          <w:rFonts w:ascii="Times New Roman" w:hAnsi="Times New Roman"/>
        </w:rPr>
      </w:pPr>
      <w:r>
        <w:rPr>
          <w:szCs w:val="24"/>
        </w:rPr>
        <w:t>У</w:t>
      </w:r>
      <w:r>
        <w:rPr>
          <w:spacing w:val="-3"/>
          <w:szCs w:val="24"/>
        </w:rPr>
        <w:t xml:space="preserve"> </w:t>
      </w:r>
      <w:r>
        <w:rPr>
          <w:szCs w:val="24"/>
        </w:rPr>
        <w:t>циљу</w:t>
      </w:r>
      <w:r>
        <w:rPr>
          <w:spacing w:val="-2"/>
          <w:szCs w:val="24"/>
        </w:rPr>
        <w:t xml:space="preserve"> </w:t>
      </w:r>
      <w:r>
        <w:rPr>
          <w:szCs w:val="24"/>
        </w:rPr>
        <w:t>заштите</w:t>
      </w:r>
      <w:r>
        <w:rPr>
          <w:spacing w:val="-3"/>
          <w:szCs w:val="24"/>
        </w:rPr>
        <w:t xml:space="preserve"> </w:t>
      </w:r>
      <w:r>
        <w:rPr>
          <w:szCs w:val="24"/>
        </w:rPr>
        <w:t>од</w:t>
      </w:r>
      <w:r>
        <w:rPr>
          <w:spacing w:val="-2"/>
          <w:szCs w:val="24"/>
        </w:rPr>
        <w:t xml:space="preserve"> поплава:</w:t>
      </w:r>
    </w:p>
    <w:p>
      <w:pPr>
        <w:pStyle w:val="Normal"/>
        <w:widowControl w:val="false"/>
        <w:numPr>
          <w:ilvl w:val="0"/>
          <w:numId w:val="21"/>
        </w:numPr>
        <w:tabs>
          <w:tab w:val="clear" w:pos="720"/>
          <w:tab w:val="left" w:pos="567" w:leader="none"/>
        </w:tabs>
        <w:suppressAutoHyphens w:val="false"/>
        <w:ind w:left="0" w:hanging="0"/>
        <w:rPr>
          <w:rFonts w:ascii="Times New Roman" w:hAnsi="Times New Roman"/>
        </w:rPr>
      </w:pPr>
      <w:r>
        <w:rPr>
          <w:szCs w:val="24"/>
          <w:lang w:val="en-GB"/>
        </w:rPr>
        <w:t>обавезно</w:t>
      </w:r>
      <w:r>
        <w:rPr>
          <w:spacing w:val="-5"/>
          <w:szCs w:val="24"/>
          <w:lang w:val="en-GB"/>
        </w:rPr>
        <w:t xml:space="preserve"> </w:t>
      </w:r>
      <w:r>
        <w:rPr>
          <w:szCs w:val="24"/>
          <w:lang w:val="en-GB"/>
        </w:rPr>
        <w:t>је</w:t>
      </w:r>
      <w:r>
        <w:rPr>
          <w:spacing w:val="-4"/>
          <w:szCs w:val="24"/>
          <w:lang w:val="en-GB"/>
        </w:rPr>
        <w:t xml:space="preserve"> </w:t>
      </w:r>
      <w:r>
        <w:rPr>
          <w:szCs w:val="24"/>
          <w:lang w:val="en-GB"/>
        </w:rPr>
        <w:t>регулисати</w:t>
      </w:r>
      <w:r>
        <w:rPr>
          <w:spacing w:val="-4"/>
          <w:szCs w:val="24"/>
          <w:lang w:val="en-GB"/>
        </w:rPr>
        <w:t xml:space="preserve"> </w:t>
      </w:r>
      <w:r>
        <w:rPr>
          <w:szCs w:val="24"/>
          <w:lang w:val="en-GB"/>
        </w:rPr>
        <w:t>и</w:t>
      </w:r>
      <w:r>
        <w:rPr>
          <w:spacing w:val="-5"/>
          <w:szCs w:val="24"/>
          <w:lang w:val="en-GB"/>
        </w:rPr>
        <w:t xml:space="preserve"> </w:t>
      </w:r>
      <w:r>
        <w:rPr>
          <w:szCs w:val="24"/>
          <w:lang w:val="en-GB"/>
        </w:rPr>
        <w:t>усмерити</w:t>
      </w:r>
      <w:r>
        <w:rPr>
          <w:spacing w:val="-4"/>
          <w:szCs w:val="24"/>
          <w:lang w:val="en-GB"/>
        </w:rPr>
        <w:t xml:space="preserve"> </w:t>
      </w:r>
      <w:r>
        <w:rPr>
          <w:szCs w:val="24"/>
          <w:lang w:val="en-GB"/>
        </w:rPr>
        <w:t>површинске</w:t>
      </w:r>
      <w:r>
        <w:rPr>
          <w:spacing w:val="-3"/>
          <w:szCs w:val="24"/>
          <w:lang w:val="en-GB"/>
        </w:rPr>
        <w:t xml:space="preserve"> </w:t>
      </w:r>
      <w:r>
        <w:rPr>
          <w:spacing w:val="-2"/>
          <w:szCs w:val="24"/>
          <w:lang w:val="en-GB"/>
        </w:rPr>
        <w:t>воде,</w:t>
      </w:r>
    </w:p>
    <w:p>
      <w:pPr>
        <w:pStyle w:val="Normal"/>
        <w:widowControl w:val="false"/>
        <w:numPr>
          <w:ilvl w:val="0"/>
          <w:numId w:val="21"/>
        </w:numPr>
        <w:tabs>
          <w:tab w:val="clear" w:pos="720"/>
          <w:tab w:val="left" w:pos="567" w:leader="none"/>
        </w:tabs>
        <w:suppressAutoHyphens w:val="false"/>
        <w:ind w:left="0" w:hanging="0"/>
        <w:rPr>
          <w:rFonts w:ascii="Times New Roman" w:hAnsi="Times New Roman"/>
        </w:rPr>
      </w:pPr>
      <w:r>
        <w:rPr>
          <w:szCs w:val="24"/>
          <w:lang w:val="en-GB"/>
        </w:rPr>
        <w:t>обавезно</w:t>
      </w:r>
      <w:r>
        <w:rPr>
          <w:spacing w:val="80"/>
          <w:szCs w:val="24"/>
          <w:lang w:val="en-GB"/>
        </w:rPr>
        <w:t xml:space="preserve"> </w:t>
      </w:r>
      <w:r>
        <w:rPr>
          <w:szCs w:val="24"/>
          <w:lang w:val="en-GB"/>
        </w:rPr>
        <w:t>је вршити</w:t>
      </w:r>
      <w:r>
        <w:rPr>
          <w:spacing w:val="80"/>
          <w:szCs w:val="24"/>
          <w:lang w:val="en-GB"/>
        </w:rPr>
        <w:t xml:space="preserve"> </w:t>
      </w:r>
      <w:r>
        <w:rPr>
          <w:szCs w:val="24"/>
          <w:lang w:val="en-GB"/>
        </w:rPr>
        <w:t>одбрану од поплава у складу са Оперативним планом одбране од поплава на водама другог реда општине Ражањ за претходну годину,</w:t>
      </w:r>
    </w:p>
    <w:p>
      <w:pPr>
        <w:pStyle w:val="Normal"/>
        <w:widowControl w:val="false"/>
        <w:numPr>
          <w:ilvl w:val="0"/>
          <w:numId w:val="21"/>
        </w:numPr>
        <w:tabs>
          <w:tab w:val="clear" w:pos="720"/>
          <w:tab w:val="left" w:pos="567" w:leader="none"/>
        </w:tabs>
        <w:suppressAutoHyphens w:val="false"/>
        <w:ind w:left="0" w:hanging="0"/>
        <w:rPr>
          <w:rFonts w:ascii="Times New Roman" w:hAnsi="Times New Roman"/>
        </w:rPr>
      </w:pPr>
      <w:r>
        <w:rPr>
          <w:szCs w:val="24"/>
          <w:lang w:val="en-GB"/>
        </w:rPr>
        <w:t xml:space="preserve">забрањује се вршење радњи које могу оштетити корито и обале </w:t>
      </w:r>
      <w:r>
        <w:rPr>
          <w:szCs w:val="24"/>
          <w:lang w:val="sr-RS"/>
        </w:rPr>
        <w:t>Велике</w:t>
      </w:r>
      <w:r>
        <w:rPr>
          <w:szCs w:val="24"/>
        </w:rPr>
        <w:t xml:space="preserve"> реке</w:t>
      </w:r>
      <w:r>
        <w:rPr>
          <w:spacing w:val="-2"/>
          <w:szCs w:val="24"/>
          <w:lang w:val="en-GB"/>
        </w:rPr>
        <w:t>,</w:t>
      </w:r>
    </w:p>
    <w:p>
      <w:pPr>
        <w:pStyle w:val="Normal"/>
        <w:widowControl w:val="false"/>
        <w:numPr>
          <w:ilvl w:val="0"/>
          <w:numId w:val="21"/>
        </w:numPr>
        <w:tabs>
          <w:tab w:val="clear" w:pos="720"/>
          <w:tab w:val="left" w:pos="567" w:leader="none"/>
        </w:tabs>
        <w:suppressAutoHyphens w:val="false"/>
        <w:ind w:left="0" w:hanging="0"/>
        <w:rPr>
          <w:rFonts w:ascii="Times New Roman" w:hAnsi="Times New Roman"/>
        </w:rPr>
      </w:pPr>
      <w:r>
        <w:rPr>
          <w:szCs w:val="24"/>
          <w:lang w:val="en-GB"/>
        </w:rPr>
        <w:t xml:space="preserve">правилно и по прописима планирати и изводити инфраструктуру (водовод, </w:t>
      </w:r>
      <w:r>
        <w:rPr>
          <w:szCs w:val="24"/>
        </w:rPr>
        <w:t>к</w:t>
      </w:r>
      <w:r>
        <w:rPr>
          <w:szCs w:val="24"/>
          <w:lang w:val="en-GB"/>
        </w:rPr>
        <w:t>анализацију и остало) да оне не би биле узрочник појаве подземне воде,</w:t>
      </w:r>
    </w:p>
    <w:p>
      <w:pPr>
        <w:pStyle w:val="Normal"/>
        <w:widowControl w:val="false"/>
        <w:numPr>
          <w:ilvl w:val="0"/>
          <w:numId w:val="21"/>
        </w:numPr>
        <w:tabs>
          <w:tab w:val="clear" w:pos="720"/>
          <w:tab w:val="left" w:pos="567" w:leader="none"/>
        </w:tabs>
        <w:suppressAutoHyphens w:val="false"/>
        <w:ind w:left="0" w:hanging="0"/>
        <w:rPr>
          <w:rFonts w:ascii="Times New Roman" w:hAnsi="Times New Roman"/>
        </w:rPr>
      </w:pPr>
      <w:r>
        <w:rPr>
          <w:szCs w:val="24"/>
          <w:lang w:val="en-GB"/>
        </w:rPr>
        <w:t>ради спречавања и отклањања штетног дејства ерозије и бујица спроводе се превентивне мере до уређења водотока, у складу са чланом 62. Закона о водама ("Службени гласник РС", бр. 30/</w:t>
      </w:r>
      <w:r>
        <w:rPr>
          <w:szCs w:val="24"/>
          <w:lang w:val="sr-RS"/>
        </w:rPr>
        <w:t>10, 93</w:t>
      </w:r>
      <w:r>
        <w:rPr>
          <w:szCs w:val="24"/>
          <w:lang w:val="en-GB"/>
        </w:rPr>
        <w:t xml:space="preserve">/12, </w:t>
      </w:r>
      <w:r>
        <w:rPr>
          <w:szCs w:val="24"/>
          <w:lang w:val="sr-RS"/>
        </w:rPr>
        <w:t>101/2016, 95/2018 и 95/2018 – др. закон</w:t>
      </w:r>
      <w:r>
        <w:rPr>
          <w:szCs w:val="24"/>
          <w:lang w:val="en-GB"/>
        </w:rPr>
        <w:t>)</w:t>
      </w:r>
    </w:p>
    <w:p>
      <w:pPr>
        <w:pStyle w:val="Normal"/>
        <w:ind w:firstLine="334"/>
        <w:rPr>
          <w:rFonts w:ascii="Times New Roman" w:hAnsi="Times New Roman"/>
        </w:rPr>
      </w:pPr>
      <w:r>
        <w:rPr>
          <w:bCs/>
          <w:szCs w:val="24"/>
        </w:rPr>
        <w:t>Неповољни утицаји геодинамичких процеса</w:t>
      </w:r>
      <w:r>
        <w:rPr>
          <w:b/>
          <w:szCs w:val="24"/>
        </w:rPr>
        <w:t xml:space="preserve"> </w:t>
      </w:r>
      <w:r>
        <w:rPr>
          <w:szCs w:val="24"/>
        </w:rPr>
        <w:t xml:space="preserve">(ерозије, флувијалне ерозије и др.), које могу имати одлике акцидентних ситуација – релативно брза, велика оштећења објеката инфра и супраструктуре, у смислу интензитета и броја, спречавају се правовременом анализом стабилности терена и геофизичких услова за изградњу, као и дефинисањем адекватних правила изградње, коришћења и уређења простора. </w:t>
      </w:r>
    </w:p>
    <w:p>
      <w:pPr>
        <w:pStyle w:val="Normal"/>
        <w:suppressAutoHyphens w:val="false"/>
        <w:ind w:left="765" w:hanging="765"/>
        <w:textAlignment w:val="center"/>
        <w:rPr>
          <w:rFonts w:ascii="Times New Roman" w:hAnsi="Times New Roman" w:eastAsia="Times New Roman"/>
          <w:b/>
          <w:b/>
          <w:color w:val="000000" w:themeColor="text1"/>
          <w:szCs w:val="24"/>
          <w:u w:val="single"/>
        </w:rPr>
      </w:pPr>
      <w:r>
        <w:rPr>
          <w:rFonts w:eastAsia="Times New Roman"/>
          <w:b/>
          <w:color w:val="000000" w:themeColor="text1"/>
          <w:szCs w:val="24"/>
          <w:u w:val="single"/>
        </w:rPr>
      </w:r>
    </w:p>
    <w:p>
      <w:pPr>
        <w:pStyle w:val="Normal"/>
        <w:suppressAutoHyphens w:val="false"/>
        <w:ind w:left="765" w:hanging="765"/>
        <w:textAlignment w:val="center"/>
        <w:rPr>
          <w:rFonts w:ascii="Times New Roman" w:hAnsi="Times New Roman"/>
        </w:rPr>
      </w:pPr>
      <w:r>
        <w:rPr>
          <w:rFonts w:eastAsia="Times New Roman"/>
          <w:b/>
          <w:szCs w:val="24"/>
          <w:u w:val="single"/>
          <w:lang w:val="sr-RS"/>
        </w:rPr>
        <w:t>--</w:t>
      </w:r>
      <w:r>
        <w:rPr>
          <w:rFonts w:eastAsia="Times New Roman"/>
          <w:b/>
          <w:szCs w:val="24"/>
          <w:u w:val="single"/>
        </w:rPr>
        <w:t>Услови и мере заштите од техничко-технолошких удеса и хаваријских загађења</w:t>
      </w:r>
    </w:p>
    <w:p>
      <w:pPr>
        <w:pStyle w:val="Normal"/>
        <w:suppressAutoHyphens w:val="false"/>
        <w:ind w:firstLine="720"/>
        <w:rPr>
          <w:rFonts w:ascii="Times New Roman" w:hAnsi="Times New Roman"/>
        </w:rPr>
      </w:pPr>
      <w:bookmarkStart w:id="47" w:name="_Hlk59260890"/>
      <w:r>
        <w:rPr>
          <w:rFonts w:eastAsia="Times New Roman"/>
          <w:szCs w:val="24"/>
        </w:rPr>
        <w:t xml:space="preserve">Заштита од техничко-технолошких несрећа и удеса обухвата: планирање, организовање и предузимање мера управљања опасним материјама на основу анализе опасности од удеса за </w:t>
      </w:r>
      <w:bookmarkStart w:id="48" w:name="_Hlk59260931"/>
      <w:bookmarkEnd w:id="47"/>
      <w:r>
        <w:rPr>
          <w:rFonts w:eastAsia="Times New Roman"/>
          <w:szCs w:val="24"/>
        </w:rPr>
        <w:t>све активности, технолошке поступке и објекте где могу бити присутне опасне материје, а за све такве технолошке поступке и објекте обавезна је израда анализе опасности од удеса.</w:t>
      </w:r>
    </w:p>
    <w:p>
      <w:pPr>
        <w:pStyle w:val="Normal"/>
        <w:ind w:firstLine="720"/>
        <w:rPr>
          <w:rFonts w:ascii="Times New Roman" w:hAnsi="Times New Roman"/>
        </w:rPr>
      </w:pPr>
      <w:r>
        <w:rPr>
          <w:szCs w:val="24"/>
          <w:lang w:val="ru-RU"/>
        </w:rPr>
        <w:t>По питању заштите од акцидентних загађења, основне мере заштите се заснивају на управљању ризиком од удеса, и то кроз: идентификацију опасности; анализу последица; процену ризика; планирање мера за превенцију удеса или смањење ризика; организовање мера приправности и одговора на удес; као и планирање мера санације од последица удеса. Мере заштите треба спроводити: за постојеће објект</w:t>
      </w:r>
      <w:r>
        <w:rPr>
          <w:szCs w:val="24"/>
        </w:rPr>
        <w:t>е</w:t>
      </w:r>
      <w:r>
        <w:rPr>
          <w:szCs w:val="24"/>
          <w:lang w:val="ru-RU"/>
        </w:rPr>
        <w:t xml:space="preserve"> и технологије (производња, складиштење, утовар, транспорт, претовар штетних и опасних материја), кроз превентивне мере и мере сталног надзора; за нове објекте, технологије и радове, као и код реконструкција постојећих, кроз обавезну израду процене утицаја и процене ризика на животну средину; израдом Мапе хазарда, чиме ће се утврдити потенцијални извори удесних загађења и правци транспорта опасних и штетних материја.</w:t>
      </w:r>
    </w:p>
    <w:p>
      <w:pPr>
        <w:pStyle w:val="Normal"/>
        <w:suppressAutoHyphens w:val="false"/>
        <w:ind w:firstLine="720"/>
        <w:textAlignment w:val="center"/>
        <w:rPr>
          <w:rFonts w:ascii="Times New Roman" w:hAnsi="Times New Roman"/>
        </w:rPr>
      </w:pPr>
      <w:r>
        <w:rPr>
          <w:rFonts w:eastAsia="Times New Roman"/>
          <w:szCs w:val="24"/>
        </w:rPr>
        <w:t>Евентуално складиштење и чување хемикалија и осталих опасних материја у објектима организовати у засебним радним просторијама магацинског типа, уз перманентну контролу и надзор локалног особља.</w:t>
      </w:r>
    </w:p>
    <w:p>
      <w:pPr>
        <w:pStyle w:val="Normal"/>
        <w:suppressAutoHyphens w:val="false"/>
        <w:ind w:firstLine="720"/>
        <w:textAlignment w:val="center"/>
        <w:rPr>
          <w:rFonts w:ascii="Times New Roman" w:hAnsi="Times New Roman"/>
        </w:rPr>
      </w:pPr>
      <w:r>
        <w:rPr>
          <w:rFonts w:eastAsia="Times New Roman"/>
          <w:szCs w:val="24"/>
          <w:lang w:val="ru-RU"/>
        </w:rPr>
        <w:t>Основна превентивна мера у поступку издавања грађевинске дозволе за поједине објекте биће спровођење законски предвиђеног поступка одлучивања о потреби израде Студије процене утицаја на животну ср</w:t>
      </w:r>
      <w:r>
        <w:rPr>
          <w:rFonts w:eastAsia="Times New Roman"/>
          <w:szCs w:val="24"/>
        </w:rPr>
        <w:t xml:space="preserve">едину (у складу са Законом о процени утицаја на животну </w:t>
      </w:r>
      <w:r>
        <w:rPr>
          <w:rFonts w:eastAsia="Times New Roman"/>
          <w:szCs w:val="24"/>
          <w:lang w:val="sr-RS"/>
        </w:rPr>
        <w:t>средину</w:t>
      </w:r>
      <w:r>
        <w:rPr>
          <w:rFonts w:eastAsia="Times New Roman"/>
          <w:szCs w:val="24"/>
        </w:rPr>
        <w:t xml:space="preserve">– „Сл. гласник РС“, бр. 135/04 </w:t>
      </w:r>
      <w:r>
        <w:rPr>
          <w:rFonts w:eastAsia="Times New Roman"/>
          <w:szCs w:val="24"/>
          <w:lang w:val="sr-RS"/>
        </w:rPr>
        <w:t>и 36/2009</w:t>
      </w:r>
      <w:r>
        <w:rPr>
          <w:rFonts w:eastAsia="Times New Roman"/>
          <w:szCs w:val="24"/>
        </w:rPr>
        <w:t xml:space="preserve">), чиме ће се, по потреби, на целовит начин сагледати процена опасности објеката и околног простора од могућих удеса и прописати неопходне мере заштите, ради заштите људи и материјалних добара. </w:t>
      </w:r>
    </w:p>
    <w:p>
      <w:pPr>
        <w:pStyle w:val="Normal"/>
        <w:ind w:firstLine="720"/>
        <w:rPr>
          <w:rFonts w:ascii="Times New Roman" w:hAnsi="Times New Roman"/>
        </w:rPr>
      </w:pPr>
      <w:r>
        <w:rPr>
          <w:szCs w:val="24"/>
          <w:lang w:val="ru-RU"/>
        </w:rPr>
        <w:t xml:space="preserve">Посебна мера заштите од акцидентних загађења представља и строга контрола саобраћајне полиције свих возила која транспортују опасне и штетне материје </w:t>
      </w:r>
      <w:r>
        <w:rPr>
          <w:szCs w:val="24"/>
        </w:rPr>
        <w:t>државним путевима</w:t>
      </w:r>
      <w:r>
        <w:rPr>
          <w:szCs w:val="24"/>
          <w:lang w:val="ru-RU"/>
        </w:rPr>
        <w:t>, с обзиром на близину путева речном току и могућем загађењу плитких издани услед неконтролисаног истакања опасних материја из транспортних возила у околно земљиште.</w:t>
      </w:r>
    </w:p>
    <w:p>
      <w:pPr>
        <w:pStyle w:val="Normal"/>
        <w:rPr>
          <w:rFonts w:ascii="Times New Roman" w:hAnsi="Times New Roman"/>
          <w:b/>
          <w:b/>
          <w:szCs w:val="24"/>
          <w:u w:val="single"/>
        </w:rPr>
      </w:pPr>
      <w:r>
        <w:rPr>
          <w:b/>
          <w:szCs w:val="24"/>
          <w:u w:val="single"/>
        </w:rPr>
      </w:r>
      <w:bookmarkStart w:id="49" w:name="_Hlk59263126"/>
      <w:bookmarkStart w:id="50" w:name="_Hlk59263126"/>
      <w:bookmarkEnd w:id="48"/>
      <w:bookmarkEnd w:id="50"/>
    </w:p>
    <w:p>
      <w:pPr>
        <w:pStyle w:val="Normal"/>
        <w:rPr>
          <w:rFonts w:ascii="Times New Roman" w:hAnsi="Times New Roman"/>
        </w:rPr>
      </w:pPr>
      <w:r>
        <w:rPr>
          <w:b/>
          <w:szCs w:val="24"/>
          <w:u w:val="single"/>
          <w:lang w:val="sr-RS"/>
        </w:rPr>
        <w:t>--</w:t>
      </w:r>
      <w:r>
        <w:rPr>
          <w:b/>
          <w:szCs w:val="24"/>
          <w:u w:val="single"/>
        </w:rPr>
        <w:t>Услови и мере обезбеђења за потребе одбране земље и цивилну заштиту</w:t>
      </w:r>
    </w:p>
    <w:p>
      <w:pPr>
        <w:pStyle w:val="Normal"/>
        <w:ind w:firstLine="720"/>
        <w:rPr>
          <w:rFonts w:ascii="Times New Roman" w:hAnsi="Times New Roman"/>
        </w:rPr>
      </w:pPr>
      <w:bookmarkStart w:id="51" w:name="_Hlk592631261"/>
      <w:bookmarkEnd w:id="51"/>
      <w:r>
        <w:rPr>
          <w:color w:val="000000" w:themeColor="text1"/>
          <w:szCs w:val="24"/>
        </w:rPr>
        <w:t xml:space="preserve">На основу </w:t>
      </w:r>
      <w:r>
        <w:rPr>
          <w:b/>
          <w:bCs/>
          <w:color w:val="000000" w:themeColor="text1"/>
          <w:szCs w:val="24"/>
        </w:rPr>
        <w:t xml:space="preserve">услова Министарства одбране који су достављени за потребе израде предметног ПДР-а (бр. </w:t>
      </w:r>
      <w:r>
        <w:rPr>
          <w:b/>
          <w:bCs/>
          <w:color w:val="000000" w:themeColor="text1"/>
          <w:szCs w:val="24"/>
          <w:lang w:val="sr-RS"/>
        </w:rPr>
        <w:t>17704</w:t>
      </w:r>
      <w:r>
        <w:rPr>
          <w:b/>
          <w:bCs/>
          <w:color w:val="000000" w:themeColor="text1"/>
          <w:szCs w:val="24"/>
        </w:rPr>
        <w:t xml:space="preserve">-2 од </w:t>
      </w:r>
      <w:r>
        <w:rPr>
          <w:b/>
          <w:bCs/>
          <w:color w:val="000000" w:themeColor="text1"/>
          <w:szCs w:val="24"/>
          <w:lang w:val="sr-RS"/>
        </w:rPr>
        <w:t>06</w:t>
      </w:r>
      <w:r>
        <w:rPr>
          <w:b/>
          <w:bCs/>
          <w:color w:val="000000" w:themeColor="text1"/>
          <w:szCs w:val="24"/>
        </w:rPr>
        <w:t>.11.202</w:t>
      </w:r>
      <w:r>
        <w:rPr>
          <w:b/>
          <w:bCs/>
          <w:color w:val="000000" w:themeColor="text1"/>
          <w:szCs w:val="24"/>
          <w:lang w:val="sr-RS"/>
        </w:rPr>
        <w:t>3</w:t>
      </w:r>
      <w:r>
        <w:rPr>
          <w:b/>
          <w:bCs/>
          <w:color w:val="000000" w:themeColor="text1"/>
          <w:szCs w:val="24"/>
        </w:rPr>
        <w:t>. год.)</w:t>
      </w:r>
      <w:r>
        <w:rPr>
          <w:color w:val="000000" w:themeColor="text1"/>
          <w:szCs w:val="24"/>
        </w:rPr>
        <w:t xml:space="preserve"> констатује се да нема посебних услова и захтева за прилагођавање потребама одбране земље. Мере заштите од интереса за одбрану земље, треба да буду уграђене у сва решења обрађена овим </w:t>
      </w:r>
      <w:r>
        <w:rPr>
          <w:bCs/>
          <w:color w:val="000000" w:themeColor="text1"/>
          <w:szCs w:val="24"/>
          <w:lang w:val="ru-RU"/>
        </w:rPr>
        <w:t>Планом</w:t>
      </w:r>
      <w:r>
        <w:rPr>
          <w:color w:val="000000" w:themeColor="text1"/>
          <w:szCs w:val="24"/>
        </w:rPr>
        <w:t xml:space="preserve"> као превентивне мере.</w:t>
      </w:r>
      <w:bookmarkStart w:id="52" w:name="_Hlk152241373"/>
      <w:bookmarkEnd w:id="52"/>
    </w:p>
    <w:p>
      <w:pPr>
        <w:pStyle w:val="Normal"/>
        <w:rPr>
          <w:rFonts w:ascii="Times New Roman" w:hAnsi="Times New Roman"/>
        </w:rPr>
      </w:pPr>
      <w:r>
        <w:rPr>
          <w:szCs w:val="24"/>
        </w:rPr>
        <w:t xml:space="preserve">Заштита становништва и материјалних добара од ратних разарања обезбеђује се на подручју Плана, према Закону о одбрани („Службсни гласних PC“, бр. 116/07, 88/09, 88/09-др.закон, 104/09-др.закон, 10/15 и 36/18), Уредби о објектима и рејонима од посебног значаја за одбрану Републике Србије („Службени гласник PC“, бр. 18/92) и </w:t>
      </w:r>
      <w:r>
        <w:rPr>
          <w:rFonts w:eastAsia="" w:eastAsiaTheme="minorEastAsia"/>
          <w:szCs w:val="24"/>
          <w:shd w:fill="auto" w:val="clear"/>
        </w:rPr>
        <w:t>Уредби о организовању и функционисању цивилне заштите („Службени гласник PC“, бр. 21/92).</w:t>
      </w:r>
    </w:p>
    <w:p>
      <w:pPr>
        <w:pStyle w:val="Normal"/>
        <w:rPr>
          <w:rFonts w:ascii="Times New Roman" w:hAnsi="Times New Roman"/>
        </w:rPr>
      </w:pPr>
      <w:r>
        <w:rPr>
          <w:szCs w:val="24"/>
        </w:rPr>
        <w:t>На предметном подручју не планира се изградња двонаменских склоништа у објектима.</w:t>
      </w:r>
    </w:p>
    <w:p>
      <w:pPr>
        <w:pStyle w:val="Normal"/>
        <w:rPr>
          <w:rFonts w:ascii="Times New Roman" w:hAnsi="Times New Roman"/>
          <w:szCs w:val="24"/>
        </w:rPr>
      </w:pPr>
      <w:r>
        <w:rPr>
          <w:szCs w:val="24"/>
        </w:rPr>
      </w:r>
    </w:p>
    <w:p>
      <w:pPr>
        <w:pStyle w:val="Normal"/>
        <w:suppressAutoHyphens w:val="false"/>
        <w:rPr>
          <w:rFonts w:ascii="Times New Roman" w:hAnsi="Times New Roman"/>
        </w:rPr>
      </w:pPr>
      <w:r>
        <w:rPr>
          <w:rFonts w:eastAsia="Times New Roman"/>
          <w:szCs w:val="24"/>
        </w:rPr>
        <w:t>Кроз реализацију планиране концепције уређења и организације простора и грађења на подручју овог плана обавезно је поштовање и следећих услова цивилне заштите:</w:t>
      </w:r>
      <w:bookmarkStart w:id="53" w:name="_Hlk59263160"/>
      <w:bookmarkEnd w:id="53"/>
    </w:p>
    <w:p>
      <w:pPr>
        <w:pStyle w:val="Normal"/>
        <w:suppressAutoHyphens w:val="false"/>
        <w:ind w:firstLine="720"/>
        <w:rPr>
          <w:rFonts w:ascii="Times New Roman" w:hAnsi="Times New Roman"/>
        </w:rPr>
      </w:pPr>
      <w:r>
        <w:rPr>
          <w:rFonts w:eastAsia="Times New Roman"/>
          <w:szCs w:val="24"/>
        </w:rPr>
        <w:t>планиране регулационе ширине основних саобраћајних праваца морају да омогуће несметано функционисање цивилне заштите у случају опасности од ратних разарања.</w:t>
      </w:r>
    </w:p>
    <w:p>
      <w:pPr>
        <w:pStyle w:val="ListParagraph"/>
        <w:tabs>
          <w:tab w:val="clear" w:pos="720"/>
          <w:tab w:val="left" w:pos="426" w:leader="none"/>
        </w:tabs>
        <w:ind w:left="0" w:hanging="0"/>
        <w:rPr>
          <w:rFonts w:eastAsia="Calibri" w:eastAsiaTheme="minorHAnsi"/>
          <w:b/>
          <w:b/>
          <w:i/>
          <w:i/>
          <w:iCs/>
          <w:sz w:val="28"/>
          <w:szCs w:val="28"/>
        </w:rPr>
      </w:pPr>
      <w:r>
        <w:rPr>
          <w:rFonts w:eastAsia="Calibri" w:eastAsiaTheme="minorHAnsi"/>
          <w:b/>
          <w:i/>
          <w:iCs/>
          <w:sz w:val="28"/>
          <w:szCs w:val="28"/>
        </w:rPr>
      </w:r>
    </w:p>
    <w:p>
      <w:pPr>
        <w:pStyle w:val="ListParagraph"/>
        <w:tabs>
          <w:tab w:val="clear" w:pos="720"/>
          <w:tab w:val="left" w:pos="426" w:leader="none"/>
        </w:tabs>
        <w:ind w:left="0" w:hanging="0"/>
        <w:rPr>
          <w:rFonts w:eastAsia="Calibri" w:eastAsiaTheme="minorHAnsi"/>
          <w:b/>
          <w:b/>
          <w:i/>
          <w:i/>
          <w:iCs/>
          <w:sz w:val="28"/>
          <w:szCs w:val="28"/>
        </w:rPr>
      </w:pPr>
      <w:r>
        <w:rPr>
          <w:rFonts w:eastAsia="Calibri" w:eastAsiaTheme="minorHAnsi"/>
          <w:b/>
          <w:i/>
          <w:iCs/>
          <w:sz w:val="28"/>
          <w:szCs w:val="28"/>
        </w:rPr>
      </w:r>
    </w:p>
    <w:p>
      <w:pPr>
        <w:pStyle w:val="ListParagraph"/>
        <w:tabs>
          <w:tab w:val="clear" w:pos="720"/>
          <w:tab w:val="left" w:pos="426" w:leader="none"/>
        </w:tabs>
        <w:ind w:left="0" w:hanging="0"/>
        <w:rPr>
          <w:rFonts w:ascii="Times New Roman" w:hAnsi="Times New Roman"/>
        </w:rPr>
      </w:pPr>
      <w:r>
        <w:rPr>
          <w:rFonts w:eastAsia="Calibri" w:eastAsiaTheme="minorHAnsi"/>
          <w:b/>
          <w:i/>
          <w:iCs/>
          <w:sz w:val="28"/>
          <w:szCs w:val="28"/>
        </w:rPr>
        <w:t>II</w:t>
      </w:r>
      <w:r>
        <w:rPr>
          <w:rFonts w:eastAsia="Calibri" w:eastAsiaTheme="minorHAnsi"/>
          <w:bCs/>
          <w:i/>
          <w:iCs/>
          <w:sz w:val="28"/>
          <w:szCs w:val="28"/>
        </w:rPr>
        <w:t>I</w:t>
      </w:r>
      <w:r>
        <w:rPr>
          <w:rFonts w:eastAsia="Calibri" w:eastAsiaTheme="minorHAnsi"/>
          <w:b/>
          <w:i/>
          <w:iCs/>
          <w:sz w:val="28"/>
          <w:szCs w:val="28"/>
        </w:rPr>
        <w:t xml:space="preserve">   ПРАВИЛА ГРАЂЕЊА</w:t>
      </w:r>
    </w:p>
    <w:p>
      <w:pPr>
        <w:pStyle w:val="ListParagraph"/>
        <w:tabs>
          <w:tab w:val="clear" w:pos="720"/>
          <w:tab w:val="left" w:pos="426" w:leader="none"/>
        </w:tabs>
        <w:ind w:left="0" w:hanging="0"/>
        <w:rPr>
          <w:rFonts w:ascii="Times New Roman" w:hAnsi="Times New Roman" w:eastAsia="Calibri" w:eastAsiaTheme="minorHAnsi"/>
        </w:rPr>
      </w:pPr>
      <w:r>
        <w:rPr>
          <w:rFonts w:eastAsia="Calibri" w:eastAsiaTheme="minorHAnsi"/>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szCs w:val="24"/>
        </w:rPr>
        <w:t>Општа правила за изградњу објеката</w:t>
      </w:r>
    </w:p>
    <w:p>
      <w:pPr>
        <w:pStyle w:val="Normal"/>
        <w:tabs>
          <w:tab w:val="clear" w:pos="720"/>
          <w:tab w:val="left" w:pos="426" w:leader="none"/>
        </w:tabs>
        <w:suppressAutoHyphens w:val="false"/>
        <w:ind w:firstLine="426"/>
        <w:rPr>
          <w:rFonts w:ascii="Times New Roman" w:hAnsi="Times New Roman"/>
        </w:rPr>
      </w:pPr>
      <w:r>
        <w:rPr>
          <w:szCs w:val="24"/>
        </w:rPr>
        <w:t>Општа правила грађења важе за цео обухват Плана. У границама Плана могућа је изградња објеката за потребе рада ППОВ, а према правилима грађења. Забрањена је изградња објеката који угрожавају и негативно утичу на квалитет животне средине.</w:t>
      </w:r>
    </w:p>
    <w:p>
      <w:pPr>
        <w:pStyle w:val="Normal"/>
        <w:tabs>
          <w:tab w:val="clear" w:pos="720"/>
          <w:tab w:val="left" w:pos="426" w:leader="none"/>
        </w:tabs>
        <w:suppressAutoHyphens w:val="false"/>
        <w:ind w:firstLine="426"/>
        <w:rPr>
          <w:rFonts w:ascii="Times New Roman" w:hAnsi="Times New Roman"/>
        </w:rPr>
      </w:pPr>
      <w:r>
        <w:rPr>
          <w:szCs w:val="24"/>
        </w:rPr>
        <w:t>Индекс заузетости парцеле је однос између бруто површине под објектом и површине грађевинске парцеле помножен бројем 100. Бруто површина под објектом је хоризонтална пројекција објекта на парцелу.</w:t>
      </w:r>
    </w:p>
    <w:p>
      <w:pPr>
        <w:pStyle w:val="Normal"/>
        <w:suppressAutoHyphens w:val="false"/>
        <w:ind w:firstLine="426"/>
        <w:rPr>
          <w:rFonts w:ascii="Times New Roman" w:hAnsi="Times New Roman"/>
        </w:rPr>
      </w:pPr>
      <w:bookmarkStart w:id="54" w:name="_Hlk132803562"/>
      <w:r>
        <w:rPr>
          <w:rFonts w:eastAsia="Times New Roman"/>
          <w:szCs w:val="24"/>
        </w:rPr>
        <w:t xml:space="preserve">Индекс изграђености </w:t>
      </w:r>
      <w:bookmarkEnd w:id="54"/>
      <w:r>
        <w:rPr>
          <w:rFonts w:eastAsia="Times New Roman"/>
          <w:szCs w:val="24"/>
        </w:rPr>
        <w:t>је однос између бруто развијене грађевинске површине свих етажа корисног простора и површине парцеле. Надземне гараже, техничке просторије и остали помоћни објекти, рачунају се у површину корисних етажа и не редукују се.</w:t>
      </w:r>
    </w:p>
    <w:p>
      <w:pPr>
        <w:pStyle w:val="Normal"/>
        <w:suppressAutoHyphens w:val="false"/>
        <w:ind w:firstLine="426"/>
        <w:rPr>
          <w:rFonts w:ascii="Times New Roman" w:hAnsi="Times New Roman"/>
        </w:rPr>
      </w:pPr>
      <w:r>
        <w:rPr>
          <w:rFonts w:eastAsia="Times New Roman"/>
          <w:szCs w:val="24"/>
        </w:rPr>
        <w:t xml:space="preserve"> </w:t>
      </w:r>
      <w:r>
        <w:rPr>
          <w:rFonts w:eastAsia="Times New Roman"/>
          <w:szCs w:val="24"/>
        </w:rPr>
        <w:t>Обрачун Индекса изграђености</w:t>
      </w:r>
      <w:r>
        <w:rPr>
          <w:szCs w:val="24"/>
        </w:rPr>
        <w:t xml:space="preserve"> и Индекса заузетости рачунати са бруто површинама свих објеката на парцели - </w:t>
      </w:r>
    </w:p>
    <w:p>
      <w:pPr>
        <w:pStyle w:val="Normal"/>
        <w:suppressAutoHyphens w:val="false"/>
        <w:ind w:firstLine="426"/>
        <w:rPr>
          <w:rFonts w:ascii="Times New Roman" w:hAnsi="Times New Roman"/>
        </w:rPr>
      </w:pPr>
      <w:r>
        <w:rPr>
          <w:rFonts w:eastAsia="Times New Roman"/>
          <w:szCs w:val="24"/>
        </w:rPr>
        <w:t xml:space="preserve">Сви услови изградње појединачних парцела дати Планом, у случају нове поделе парцела, остају </w:t>
      </w:r>
      <w:r>
        <w:rPr>
          <w:rFonts w:eastAsia="Times New Roman"/>
          <w:bCs/>
          <w:szCs w:val="24"/>
        </w:rPr>
        <w:t xml:space="preserve">исти као </w:t>
      </w:r>
      <w:r>
        <w:rPr>
          <w:rFonts w:eastAsia="Times New Roman"/>
          <w:szCs w:val="24"/>
        </w:rPr>
        <w:t>изведена величина из свих услова сваке од парцела.</w:t>
      </w:r>
    </w:p>
    <w:p>
      <w:pPr>
        <w:pStyle w:val="Normal"/>
        <w:suppressAutoHyphens w:val="false"/>
        <w:ind w:firstLine="426"/>
        <w:rPr>
          <w:rFonts w:ascii="Times New Roman" w:hAnsi="Times New Roman"/>
        </w:rPr>
      </w:pPr>
      <w:r>
        <w:rPr>
          <w:rFonts w:eastAsia="Times New Roman"/>
          <w:szCs w:val="24"/>
        </w:rPr>
        <w:t xml:space="preserve">Новопланирани објекти треба да </w:t>
      </w:r>
      <w:r>
        <w:rPr>
          <w:rFonts w:eastAsia="Times New Roman"/>
          <w:bCs/>
          <w:szCs w:val="24"/>
        </w:rPr>
        <w:t xml:space="preserve">одражавају </w:t>
      </w:r>
      <w:r>
        <w:rPr>
          <w:rFonts w:eastAsia="Times New Roman"/>
          <w:szCs w:val="24"/>
        </w:rPr>
        <w:t>савремен приступ пројектовању уз поштовање природног амбијента, технолошкох карактеристика објекта и правила грађења овим Планом.</w:t>
      </w:r>
    </w:p>
    <w:p>
      <w:pPr>
        <w:pStyle w:val="Normal"/>
        <w:suppressAutoHyphens w:val="false"/>
        <w:ind w:firstLine="426"/>
        <w:rPr>
          <w:rFonts w:ascii="Times New Roman" w:hAnsi="Times New Roman"/>
        </w:rPr>
      </w:pPr>
      <w:r>
        <w:rPr>
          <w:rFonts w:eastAsia="Times New Roman"/>
          <w:szCs w:val="24"/>
        </w:rPr>
        <w:t xml:space="preserve">Максималне висине дефинисане правилима грађења, односе се на висину слемена код косих кровова, односно висину венца код равних и кровова са нагибом кровних равни мањим од </w:t>
      </w:r>
      <w:r>
        <w:rPr>
          <w:rFonts w:eastAsia="Times New Roman"/>
          <w:szCs w:val="24"/>
          <w:lang w:val="sr-Latn-CS"/>
        </w:rPr>
        <w:t>10%.</w:t>
      </w:r>
    </w:p>
    <w:p>
      <w:pPr>
        <w:pStyle w:val="Normal"/>
        <w:tabs>
          <w:tab w:val="clear" w:pos="720"/>
          <w:tab w:val="left" w:pos="426" w:leader="none"/>
        </w:tabs>
        <w:suppressAutoHyphens w:val="false"/>
        <w:ind w:firstLine="426"/>
        <w:rPr>
          <w:rFonts w:ascii="Times New Roman" w:hAnsi="Times New Roman"/>
        </w:rPr>
      </w:pPr>
      <w:r>
        <w:rPr>
          <w:szCs w:val="24"/>
          <w:lang w:val="sr-CS"/>
        </w:rPr>
        <w:t>Потребан проценат озелењавања парцела је минимално 20% зеленила.</w:t>
      </w:r>
    </w:p>
    <w:p>
      <w:pPr>
        <w:pStyle w:val="Normal"/>
        <w:tabs>
          <w:tab w:val="clear" w:pos="720"/>
          <w:tab w:val="left" w:pos="426" w:leader="none"/>
        </w:tabs>
        <w:suppressAutoHyphens w:val="false"/>
        <w:ind w:firstLine="426"/>
        <w:rPr>
          <w:rFonts w:ascii="Times New Roman" w:hAnsi="Times New Roman"/>
        </w:rPr>
      </w:pPr>
      <w:r>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szCs w:val="24"/>
        </w:rPr>
        <w:t>Услови за формирање грађевинске парцеле</w:t>
      </w:r>
    </w:p>
    <w:p>
      <w:pPr>
        <w:pStyle w:val="Normal"/>
        <w:ind w:firstLine="426"/>
        <w:rPr>
          <w:rFonts w:ascii="Times New Roman" w:hAnsi="Times New Roman"/>
        </w:rPr>
      </w:pPr>
      <w:r>
        <w:rPr>
          <w:rFonts w:eastAsia="Times New Roman"/>
          <w:color w:val="000000" w:themeColor="text1"/>
          <w:szCs w:val="24"/>
          <w:lang w:eastAsia="ar-SA"/>
        </w:rPr>
        <w:t>Положај грађевинске парцеле утврђен је регулационом линијом у односу на јавне површине и разделним границама парцеле према суседима. Грађевинска парцела мора имати директан приступ на јавну површину.</w:t>
      </w:r>
    </w:p>
    <w:p>
      <w:pPr>
        <w:pStyle w:val="Normal"/>
        <w:tabs>
          <w:tab w:val="clear" w:pos="720"/>
          <w:tab w:val="left" w:pos="426" w:leader="none"/>
        </w:tabs>
        <w:suppressAutoHyphens w:val="false"/>
        <w:ind w:firstLine="426"/>
        <w:rPr>
          <w:rFonts w:ascii="Times New Roman" w:hAnsi="Times New Roman"/>
        </w:rPr>
      </w:pPr>
      <w:r>
        <w:rPr>
          <w:rFonts w:eastAsia="Times New Roman"/>
          <w:bCs/>
          <w:color w:val="000000" w:themeColor="text1"/>
          <w:szCs w:val="24"/>
        </w:rPr>
        <w:t xml:space="preserve">Нове грађевинске парцеле формирају се применом правила парцелације, препарцелације и исправке граница суседних парцела, у складу са чланом 65. </w:t>
      </w:r>
      <w:r>
        <w:rPr>
          <w:rFonts w:eastAsia="Times New Roman"/>
          <w:color w:val="000000" w:themeColor="text1"/>
          <w:szCs w:val="24"/>
        </w:rPr>
        <w:t>З</w:t>
      </w:r>
      <w:r>
        <w:rPr>
          <w:rFonts w:eastAsia="Times New Roman"/>
          <w:color w:val="000000" w:themeColor="text1"/>
          <w:spacing w:val="-3"/>
          <w:szCs w:val="24"/>
        </w:rPr>
        <w:t>а</w:t>
      </w:r>
      <w:r>
        <w:rPr>
          <w:rFonts w:eastAsia="Times New Roman"/>
          <w:color w:val="000000" w:themeColor="text1"/>
          <w:szCs w:val="24"/>
        </w:rPr>
        <w:t>к</w:t>
      </w:r>
      <w:r>
        <w:rPr>
          <w:rFonts w:eastAsia="Times New Roman"/>
          <w:color w:val="000000" w:themeColor="text1"/>
          <w:spacing w:val="2"/>
          <w:szCs w:val="24"/>
        </w:rPr>
        <w:t>о</w:t>
      </w:r>
      <w:r>
        <w:rPr>
          <w:rFonts w:eastAsia="Times New Roman"/>
          <w:color w:val="000000" w:themeColor="text1"/>
          <w:spacing w:val="-1"/>
          <w:szCs w:val="24"/>
        </w:rPr>
        <w:t>на</w:t>
      </w:r>
      <w:r>
        <w:rPr>
          <w:rFonts w:eastAsia="Times New Roman"/>
          <w:color w:val="000000" w:themeColor="text1"/>
          <w:spacing w:val="5"/>
          <w:szCs w:val="24"/>
        </w:rPr>
        <w:t xml:space="preserve"> </w:t>
      </w:r>
      <w:r>
        <w:rPr>
          <w:rFonts w:eastAsia="Times New Roman"/>
          <w:color w:val="000000" w:themeColor="text1"/>
          <w:szCs w:val="24"/>
        </w:rPr>
        <w:t xml:space="preserve">о планирању и изградњи </w:t>
      </w:r>
      <w:r>
        <w:rPr>
          <w:rFonts w:eastAsia="Times New Roman"/>
          <w:color w:val="000000" w:themeColor="text1"/>
          <w:szCs w:val="24"/>
          <w:lang w:val="en-GB"/>
        </w:rPr>
        <w:t>(„</w:t>
      </w:r>
      <w:r>
        <w:rPr>
          <w:rFonts w:eastAsia="Times New Roman"/>
          <w:color w:val="000000" w:themeColor="text1"/>
          <w:szCs w:val="24"/>
        </w:rPr>
        <w:t>Службени</w:t>
      </w:r>
      <w:r>
        <w:rPr>
          <w:rFonts w:eastAsia="Times New Roman"/>
          <w:color w:val="000000" w:themeColor="text1"/>
          <w:szCs w:val="24"/>
          <w:lang w:val="en-GB"/>
        </w:rPr>
        <w:t xml:space="preserve"> </w:t>
      </w:r>
      <w:r>
        <w:rPr>
          <w:rFonts w:eastAsia="Times New Roman"/>
          <w:color w:val="000000" w:themeColor="text1"/>
          <w:szCs w:val="24"/>
        </w:rPr>
        <w:t>г</w:t>
      </w:r>
      <w:r>
        <w:rPr>
          <w:rFonts w:eastAsia="Times New Roman"/>
          <w:color w:val="000000" w:themeColor="text1"/>
          <w:szCs w:val="24"/>
          <w:lang w:val="en-GB"/>
        </w:rPr>
        <w:t>ласник РС“, бр. 72/2009, 81/2009-испр</w:t>
      </w:r>
      <w:r>
        <w:rPr>
          <w:rFonts w:eastAsia="Times New Roman"/>
          <w:color w:val="000000" w:themeColor="text1"/>
          <w:szCs w:val="24"/>
        </w:rPr>
        <w:t>авка</w:t>
      </w:r>
      <w:r>
        <w:rPr>
          <w:rFonts w:eastAsia="Times New Roman"/>
          <w:color w:val="000000" w:themeColor="text1"/>
          <w:szCs w:val="24"/>
          <w:lang w:val="en-GB"/>
        </w:rPr>
        <w:t>., 64/2010-одлука УС, 24/2011, 121/2012, 42/2013-одл</w:t>
      </w:r>
      <w:r>
        <w:rPr>
          <w:rFonts w:eastAsia="Times New Roman"/>
          <w:color w:val="000000" w:themeColor="text1"/>
          <w:szCs w:val="24"/>
        </w:rPr>
        <w:t>у</w:t>
      </w:r>
      <w:r>
        <w:rPr>
          <w:rFonts w:eastAsia="Times New Roman"/>
          <w:color w:val="000000" w:themeColor="text1"/>
          <w:szCs w:val="24"/>
          <w:lang w:val="en-GB"/>
        </w:rPr>
        <w:t xml:space="preserve">ка УС, 50/2013-одлука УС и 98/2013-одлука УС, 132/14, </w:t>
      </w:r>
      <w:r>
        <w:rPr>
          <w:rFonts w:eastAsia="Times New Roman"/>
          <w:color w:val="000000" w:themeColor="text1"/>
          <w:szCs w:val="24"/>
        </w:rPr>
        <w:t xml:space="preserve">132/2014, 145/2014, 83/2018, 31/2019, 37/2019-др.закон, 9/2020, 52/2021 </w:t>
      </w:r>
      <w:r>
        <w:rPr>
          <w:rFonts w:eastAsia="Times New Roman"/>
          <w:color w:val="000000" w:themeColor="text1"/>
          <w:szCs w:val="24"/>
          <w:lang w:val="sr-RS"/>
        </w:rPr>
        <w:t>и 62/2023</w:t>
      </w:r>
      <w:r>
        <w:rPr>
          <w:rFonts w:eastAsia="Times New Roman"/>
          <w:color w:val="000000" w:themeColor="text1"/>
          <w:szCs w:val="24"/>
        </w:rPr>
        <w:t xml:space="preserve">) </w:t>
      </w:r>
      <w:r>
        <w:rPr>
          <w:rFonts w:eastAsia="Times New Roman"/>
          <w:bCs/>
          <w:color w:val="000000" w:themeColor="text1"/>
          <w:szCs w:val="24"/>
        </w:rPr>
        <w:t xml:space="preserve">и </w:t>
      </w:r>
      <w:r>
        <w:rPr>
          <w:rFonts w:eastAsia="Times New Roman"/>
          <w:color w:val="000000" w:themeColor="text1"/>
          <w:szCs w:val="24"/>
        </w:rPr>
        <w:t>Правилником о општим правилима за парцелацију, регулацију и изградњу ("Сл. гласник РС", бр. 22/2015).</w:t>
      </w:r>
    </w:p>
    <w:p>
      <w:pPr>
        <w:pStyle w:val="Normal"/>
        <w:ind w:firstLine="426"/>
        <w:rPr>
          <w:rFonts w:ascii="Times New Roman" w:hAnsi="Times New Roman"/>
        </w:rPr>
      </w:pPr>
      <w:r>
        <w:rPr>
          <w:rFonts w:eastAsia="Times New Roman"/>
          <w:color w:val="000000" w:themeColor="text1"/>
          <w:szCs w:val="24"/>
          <w:lang w:eastAsia="ar-SA"/>
        </w:rPr>
        <w:t>Дозвољено је формирање грађевинских парцела спајањем или дељењем катастарских парцела и делова катастарских парцела у складу са Правилником и дефинише се пројектом парцелације/препарцелације.</w:t>
      </w:r>
    </w:p>
    <w:p>
      <w:pPr>
        <w:pStyle w:val="Normal"/>
        <w:tabs>
          <w:tab w:val="clear" w:pos="720"/>
          <w:tab w:val="left" w:pos="0" w:leader="none"/>
        </w:tabs>
        <w:suppressAutoHyphens w:val="false"/>
        <w:ind w:firstLine="426"/>
        <w:rPr>
          <w:rFonts w:ascii="Times New Roman" w:hAnsi="Times New Roman"/>
        </w:rPr>
      </w:pPr>
      <w:r>
        <w:rPr>
          <w:rFonts w:eastAsia="Times New Roman"/>
          <w:color w:val="000000" w:themeColor="text1"/>
          <w:szCs w:val="24"/>
          <w:lang w:eastAsia="ar-SA"/>
        </w:rPr>
        <w:t xml:space="preserve">Површина грађевинске </w:t>
      </w:r>
      <w:r>
        <w:rPr>
          <w:rFonts w:eastAsia="Times New Roman"/>
          <w:color w:val="000000" w:themeColor="text1"/>
          <w:szCs w:val="24"/>
          <w:lang w:val="pl-PL" w:eastAsia="ar-SA"/>
        </w:rPr>
        <w:t>парцел</w:t>
      </w:r>
      <w:r>
        <w:rPr>
          <w:rFonts w:eastAsia="Times New Roman"/>
          <w:color w:val="000000" w:themeColor="text1"/>
          <w:szCs w:val="24"/>
          <w:lang w:eastAsia="ar-SA"/>
        </w:rPr>
        <w:t>е</w:t>
      </w:r>
      <w:r>
        <w:rPr>
          <w:rFonts w:eastAsia="Times New Roman"/>
          <w:color w:val="000000" w:themeColor="text1"/>
          <w:szCs w:val="24"/>
          <w:lang w:val="pl-PL" w:eastAsia="ar-SA"/>
        </w:rPr>
        <w:t xml:space="preserve"> </w:t>
      </w:r>
      <w:r>
        <w:rPr>
          <w:rFonts w:eastAsia="Times New Roman"/>
          <w:color w:val="000000" w:themeColor="text1"/>
          <w:szCs w:val="24"/>
          <w:lang w:eastAsia="ar-SA"/>
        </w:rPr>
        <w:t>и ширина фронта грађевинске парцеле према саобраћајници зависи од намене.</w:t>
      </w:r>
    </w:p>
    <w:p>
      <w:pPr>
        <w:pStyle w:val="Normal"/>
        <w:suppressAutoHyphens w:val="false"/>
        <w:ind w:firstLine="426"/>
        <w:rPr>
          <w:rFonts w:ascii="Times New Roman" w:hAnsi="Times New Roman" w:eastAsia="Times New Roman"/>
          <w:color w:val="000000" w:themeColor="text1"/>
          <w:szCs w:val="24"/>
          <w:lang w:val="sr-RS"/>
        </w:rPr>
      </w:pPr>
      <w:r>
        <w:rPr>
          <w:rFonts w:eastAsia="Times New Roman"/>
          <w:color w:val="000000" w:themeColor="text1"/>
          <w:szCs w:val="24"/>
          <w:lang w:val="sr-RS"/>
        </w:rPr>
      </w:r>
    </w:p>
    <w:p>
      <w:pPr>
        <w:pStyle w:val="Normal"/>
        <w:suppressAutoHyphens w:val="false"/>
        <w:ind w:firstLine="426"/>
        <w:rPr>
          <w:rFonts w:ascii="Times New Roman" w:hAnsi="Times New Roman"/>
          <w:color w:val="000000" w:themeColor="text1"/>
          <w:szCs w:val="24"/>
        </w:rPr>
      </w:pPr>
      <w:r>
        <w:rPr>
          <w:color w:val="000000" w:themeColor="text1"/>
          <w:szCs w:val="24"/>
        </w:rPr>
      </w:r>
    </w:p>
    <w:p>
      <w:pPr>
        <w:pStyle w:val="ListParagraph"/>
        <w:numPr>
          <w:ilvl w:val="0"/>
          <w:numId w:val="10"/>
        </w:numPr>
        <w:suppressAutoHyphens w:val="false"/>
        <w:ind w:left="0" w:hanging="0"/>
        <w:rPr>
          <w:rFonts w:ascii="Times New Roman" w:hAnsi="Times New Roman"/>
          <w:b/>
          <w:b/>
          <w:bCs/>
        </w:rPr>
      </w:pPr>
      <w:r>
        <w:rPr>
          <w:rFonts w:eastAsia="Calibri" w:eastAsiaTheme="minorHAnsi"/>
          <w:b/>
          <w:bCs/>
        </w:rPr>
        <w:t>Положај објеката у односу на регулацију и грађевинске линије</w:t>
      </w:r>
    </w:p>
    <w:p>
      <w:pPr>
        <w:pStyle w:val="Normal"/>
        <w:suppressAutoHyphens w:val="false"/>
        <w:ind w:firstLine="426"/>
        <w:rPr>
          <w:rFonts w:ascii="Times New Roman" w:hAnsi="Times New Roman"/>
        </w:rPr>
      </w:pPr>
      <w:r>
        <w:rPr>
          <w:rFonts w:eastAsia="Times New Roman"/>
          <w:color w:val="000000" w:themeColor="text1"/>
          <w:szCs w:val="24"/>
          <w:lang w:eastAsia="ar-SA"/>
        </w:rPr>
        <w:t>Положај објеката одређен је грађевинск</w:t>
      </w:r>
      <w:r>
        <w:rPr>
          <w:rFonts w:eastAsia="Times New Roman"/>
          <w:color w:val="000000" w:themeColor="text1"/>
          <w:szCs w:val="24"/>
          <w:lang w:val="sr-RS" w:eastAsia="ar-SA"/>
        </w:rPr>
        <w:t>о</w:t>
      </w:r>
      <w:r>
        <w:rPr>
          <w:rFonts w:eastAsia="Times New Roman"/>
          <w:color w:val="000000" w:themeColor="text1"/>
          <w:szCs w:val="24"/>
          <w:lang w:eastAsia="ar-SA"/>
        </w:rPr>
        <w:t>м линиј</w:t>
      </w:r>
      <w:r>
        <w:rPr>
          <w:rFonts w:eastAsia="Times New Roman"/>
          <w:color w:val="000000" w:themeColor="text1"/>
          <w:szCs w:val="24"/>
          <w:lang w:val="sr-RS" w:eastAsia="ar-SA"/>
        </w:rPr>
        <w:t>ом</w:t>
      </w:r>
      <w:r>
        <w:rPr>
          <w:rFonts w:eastAsia="Times New Roman"/>
          <w:color w:val="000000" w:themeColor="text1"/>
          <w:szCs w:val="24"/>
          <w:lang w:eastAsia="ar-SA"/>
        </w:rPr>
        <w:t xml:space="preserve"> према јавној површини.</w:t>
      </w:r>
      <w:r>
        <w:rPr>
          <w:rFonts w:eastAsia="Times New Roman"/>
          <w:color w:val="00B0F0"/>
          <w:szCs w:val="24"/>
          <w:lang w:eastAsia="ar-SA"/>
        </w:rPr>
        <w:t xml:space="preserve"> </w:t>
      </w:r>
      <w:r>
        <w:rPr>
          <w:rFonts w:eastAsia="Times New Roman"/>
          <w:szCs w:val="24"/>
          <w:lang w:eastAsia="ar-SA"/>
        </w:rPr>
        <w:t>(</w:t>
      </w:r>
      <w:r>
        <w:rPr>
          <w:rFonts w:eastAsia="Times New Roman"/>
          <w:szCs w:val="24"/>
          <w:lang w:val="sr-RS" w:eastAsia="ar-SA"/>
        </w:rPr>
        <w:t xml:space="preserve">5,0 </w:t>
      </w:r>
      <w:r>
        <w:rPr>
          <w:rFonts w:eastAsia="Times New Roman"/>
          <w:szCs w:val="24"/>
          <w:lang w:eastAsia="ar-SA"/>
        </w:rPr>
        <w:t xml:space="preserve">m од РЛ). </w:t>
      </w:r>
      <w:r>
        <w:rPr>
          <w:rFonts w:eastAsia="Times New Roman"/>
          <w:color w:val="000000" w:themeColor="text1"/>
          <w:szCs w:val="24"/>
          <w:lang w:val="ru-RU" w:eastAsia="ar-SA"/>
        </w:rPr>
        <w:t xml:space="preserve">Све објекте поставити на или иза планске грађевинске линије. </w:t>
      </w:r>
    </w:p>
    <w:p>
      <w:pPr>
        <w:pStyle w:val="Normal"/>
        <w:tabs>
          <w:tab w:val="clear" w:pos="720"/>
          <w:tab w:val="left" w:pos="426" w:leader="none"/>
        </w:tabs>
        <w:suppressAutoHyphens w:val="false"/>
        <w:ind w:firstLine="426"/>
        <w:rPr>
          <w:rFonts w:ascii="Times New Roman" w:hAnsi="Times New Roman"/>
        </w:rPr>
      </w:pPr>
      <w:r>
        <w:rPr>
          <w:rFonts w:eastAsia="Times New Roman"/>
          <w:color w:val="000000" w:themeColor="text1"/>
          <w:szCs w:val="24"/>
        </w:rPr>
        <w:t xml:space="preserve">Грађевинска линија </w:t>
      </w:r>
      <w:r>
        <w:rPr>
          <w:rFonts w:eastAsia="Times New Roman"/>
          <w:bCs/>
          <w:color w:val="000000" w:themeColor="text1"/>
          <w:szCs w:val="24"/>
        </w:rPr>
        <w:t>на графичком прилогу је</w:t>
      </w:r>
      <w:r>
        <w:rPr>
          <w:rFonts w:eastAsia="Times New Roman"/>
          <w:color w:val="000000" w:themeColor="text1"/>
          <w:szCs w:val="24"/>
        </w:rPr>
        <w:t xml:space="preserve"> линија до које је дозвољено поставити објекат у нивоу терена.</w:t>
      </w:r>
    </w:p>
    <w:p>
      <w:pPr>
        <w:pStyle w:val="Normal"/>
        <w:tabs>
          <w:tab w:val="clear" w:pos="720"/>
          <w:tab w:val="left" w:pos="426" w:leader="none"/>
        </w:tabs>
        <w:suppressAutoHyphens w:val="false"/>
        <w:ind w:firstLine="426"/>
        <w:rPr>
          <w:rFonts w:ascii="Times New Roman" w:hAnsi="Times New Roman"/>
        </w:rPr>
      </w:pPr>
      <w:r>
        <w:rPr>
          <w:rFonts w:eastAsia="Times New Roman"/>
          <w:color w:val="000000" w:themeColor="text1"/>
          <w:szCs w:val="24"/>
          <w:lang w:val="sr-RS"/>
        </w:rPr>
        <w:t>Подземна грађевинска линија може се утврдити и у појасу између регулационе и грађевинске линије, као и шире од габарита објекта приземља,  ако је то у функцији технологије и не представља сметњу у функционисању објекта или инфраструктурне и саобраћајне мреже.</w:t>
      </w:r>
    </w:p>
    <w:p>
      <w:pPr>
        <w:pStyle w:val="Normal"/>
        <w:tabs>
          <w:tab w:val="clear" w:pos="720"/>
          <w:tab w:val="left" w:pos="426" w:leader="none"/>
        </w:tabs>
        <w:suppressAutoHyphens w:val="false"/>
        <w:ind w:firstLine="426"/>
        <w:rPr>
          <w:rFonts w:ascii="Times New Roman" w:hAnsi="Times New Roman"/>
        </w:rPr>
      </w:pPr>
      <w:r>
        <w:rPr>
          <w:rFonts w:eastAsia="Times New Roman"/>
          <w:szCs w:val="24"/>
          <w:lang w:eastAsia="ar-SA"/>
        </w:rPr>
        <w:t xml:space="preserve">Приказано на графичком прилогу </w:t>
      </w:r>
      <w:r>
        <w:rPr>
          <w:rFonts w:eastAsia="Times New Roman" w:cs="Arial"/>
          <w:szCs w:val="24"/>
        </w:rPr>
        <w:t>бр.3. „Регулационо-нивелациони план са аналитичко-геодетским елементима за обележавање и грађевинским линијама“.</w:t>
      </w:r>
    </w:p>
    <w:p>
      <w:pPr>
        <w:pStyle w:val="Normal"/>
        <w:tabs>
          <w:tab w:val="clear" w:pos="720"/>
          <w:tab w:val="left" w:pos="426" w:leader="none"/>
        </w:tabs>
        <w:suppressAutoHyphens w:val="false"/>
        <w:ind w:firstLine="426"/>
        <w:rPr>
          <w:rFonts w:ascii="Times New Roman" w:hAnsi="Times New Roman"/>
        </w:rPr>
      </w:pPr>
      <w:r>
        <w:rPr>
          <w:rFonts w:eastAsia="Times New Roman"/>
          <w:bCs/>
          <w:szCs w:val="24"/>
        </w:rPr>
        <w:t>П</w:t>
      </w:r>
      <w:r>
        <w:rPr>
          <w:rFonts w:eastAsia="Times New Roman"/>
          <w:szCs w:val="24"/>
        </w:rPr>
        <w:t>ростор између регулационе и грађевинске линије може се користити као простор за паркирање, портирницу и партерно зеленило.</w:t>
      </w:r>
    </w:p>
    <w:p>
      <w:pPr>
        <w:pStyle w:val="Normal"/>
        <w:tabs>
          <w:tab w:val="clear" w:pos="720"/>
          <w:tab w:val="left" w:pos="426" w:leader="none"/>
        </w:tabs>
        <w:suppressAutoHyphens w:val="false"/>
        <w:ind w:firstLine="426"/>
        <w:rPr>
          <w:rFonts w:ascii="Times New Roman" w:hAnsi="Times New Roman" w:eastAsia="Times New Roman"/>
          <w:szCs w:val="24"/>
        </w:rPr>
      </w:pPr>
      <w:r>
        <w:rPr>
          <w:rFonts w:eastAsia="Times New Roman"/>
          <w:szCs w:val="24"/>
        </w:rPr>
      </w:r>
    </w:p>
    <w:p>
      <w:pPr>
        <w:pStyle w:val="Normal"/>
        <w:tabs>
          <w:tab w:val="clear" w:pos="720"/>
          <w:tab w:val="left" w:pos="426" w:leader="none"/>
        </w:tabs>
        <w:suppressAutoHyphens w:val="false"/>
        <w:ind w:firstLine="426"/>
        <w:rPr>
          <w:rFonts w:ascii="Times New Roman" w:hAnsi="Times New Roman" w:eastAsia="Times New Roman"/>
          <w:szCs w:val="24"/>
        </w:rPr>
      </w:pPr>
      <w:r>
        <w:rPr>
          <w:rFonts w:eastAsia="Times New Roman"/>
          <w:szCs w:val="24"/>
        </w:rPr>
      </w:r>
    </w:p>
    <w:p>
      <w:pPr>
        <w:pStyle w:val="ListParagraph"/>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rPr>
        <w:t>Положај објеката у односу на суседне парцеле</w:t>
      </w:r>
      <w:bookmarkStart w:id="55" w:name="_Hlk153360337"/>
      <w:bookmarkEnd w:id="55"/>
    </w:p>
    <w:p>
      <w:pPr>
        <w:pStyle w:val="Normal"/>
        <w:tabs>
          <w:tab w:val="clear" w:pos="720"/>
          <w:tab w:val="left" w:pos="426" w:leader="none"/>
        </w:tabs>
        <w:suppressAutoHyphens w:val="false"/>
        <w:ind w:firstLine="426"/>
        <w:rPr>
          <w:rFonts w:ascii="Times New Roman" w:hAnsi="Times New Roman"/>
        </w:rPr>
      </w:pPr>
      <w:r>
        <w:rPr>
          <w:rFonts w:eastAsia="Times New Roman"/>
          <w:color w:val="000000" w:themeColor="text1"/>
          <w:szCs w:val="24"/>
        </w:rPr>
        <w:t xml:space="preserve">Све објекте који су део технологије пречишћавања отпадних вода (надземни и подземни) радити према технолошкој шеми.  </w:t>
      </w:r>
      <w:r>
        <w:rPr>
          <w:rFonts w:eastAsia="Calibri"/>
          <w:color w:val="000000" w:themeColor="text1"/>
          <w:szCs w:val="24"/>
        </w:rPr>
        <w:t>Значи да просторно решење свих објеката чини јединствен процес рада. Положај сваког обекта је одређен његовом функцијом у процесу рада. При реализацији објеката је дозвољена ФАЗНА градња која омогућава функционисање система пречишћавања вода, али и допуну и усавршавање</w:t>
      </w:r>
      <w:r>
        <w:rPr>
          <w:rFonts w:eastAsia="Calibri"/>
          <w:color w:val="000000" w:themeColor="text1"/>
          <w:szCs w:val="24"/>
          <w:lang w:val="sr-RS"/>
        </w:rPr>
        <w:t xml:space="preserve"> </w:t>
      </w:r>
      <w:r>
        <w:rPr>
          <w:rFonts w:eastAsia="Calibri"/>
          <w:color w:val="000000" w:themeColor="text1"/>
          <w:szCs w:val="24"/>
        </w:rPr>
        <w:t>процеса рада.</w:t>
      </w:r>
    </w:p>
    <w:p>
      <w:pPr>
        <w:pStyle w:val="Normal"/>
        <w:tabs>
          <w:tab w:val="clear" w:pos="720"/>
          <w:tab w:val="left" w:pos="426" w:leader="none"/>
        </w:tabs>
        <w:suppressAutoHyphens w:val="false"/>
        <w:ind w:firstLine="450"/>
        <w:rPr>
          <w:rFonts w:ascii="Times New Roman" w:hAnsi="Times New Roman"/>
        </w:rPr>
      </w:pPr>
      <w:r>
        <w:rPr>
          <w:rFonts w:eastAsia="Calibri"/>
          <w:color w:val="000000" w:themeColor="text1"/>
          <w:szCs w:val="24"/>
        </w:rPr>
        <w:t xml:space="preserve">Удаљење објеката (било ког из </w:t>
      </w:r>
      <w:r>
        <w:rPr>
          <w:rFonts w:eastAsia="Calibri"/>
          <w:color w:val="000000" w:themeColor="text1"/>
          <w:szCs w:val="24"/>
          <w:lang w:val="sr-RS"/>
        </w:rPr>
        <w:t>технолошког процеса)</w:t>
      </w:r>
      <w:r>
        <w:rPr>
          <w:rFonts w:eastAsia="Calibri"/>
          <w:color w:val="000000" w:themeColor="text1"/>
          <w:szCs w:val="24"/>
        </w:rPr>
        <w:t xml:space="preserve"> од суседних парцела је 5,0 </w:t>
      </w:r>
      <w:r>
        <w:rPr>
          <w:rFonts w:eastAsia="Calibri" w:eastAsiaTheme="minorHAnsi"/>
          <w:color w:val="000000"/>
          <w:szCs w:val="24"/>
          <w:lang w:val="sr-RS"/>
        </w:rPr>
        <w:t>m</w:t>
      </w:r>
      <w:r>
        <w:rPr>
          <w:rFonts w:eastAsia="Calibri"/>
          <w:color w:val="000000" w:themeColor="text1"/>
          <w:szCs w:val="24"/>
        </w:rPr>
        <w:t>.</w:t>
      </w:r>
    </w:p>
    <w:p>
      <w:pPr>
        <w:pStyle w:val="Normal"/>
        <w:ind w:firstLine="450"/>
        <w:rPr>
          <w:rFonts w:ascii="Times New Roman" w:hAnsi="Times New Roman"/>
        </w:rPr>
      </w:pPr>
      <w:r>
        <w:rPr>
          <w:color w:val="000000" w:themeColor="text1"/>
          <w:szCs w:val="24"/>
        </w:rPr>
        <w:t xml:space="preserve">Систем организације процеса рада и опреме објеката треба да је прилагођен нашој важећој законској регулативи, али и европској законској регулативи у погледу потребних степена пречишћавања, односно степена добијеног квалитета ефлуента, а све у циљу заштите животне средине у Европским оквирима и стандардима. </w:t>
      </w:r>
    </w:p>
    <w:p>
      <w:pPr>
        <w:pStyle w:val="Normal"/>
        <w:ind w:firstLine="720"/>
        <w:rPr>
          <w:rFonts w:ascii="Times New Roman" w:hAnsi="Times New Roman" w:eastAsia="Calibri"/>
          <w:color w:val="00B0F0"/>
          <w:szCs w:val="24"/>
        </w:rPr>
      </w:pPr>
      <w:r>
        <w:rPr>
          <w:rFonts w:eastAsia="Calibri"/>
          <w:color w:val="00B0F0"/>
          <w:szCs w:val="24"/>
        </w:rPr>
      </w:r>
    </w:p>
    <w:p>
      <w:pPr>
        <w:pStyle w:val="Normal"/>
        <w:ind w:firstLine="720"/>
        <w:rPr>
          <w:rFonts w:ascii="Times New Roman" w:hAnsi="Times New Roman" w:eastAsia="Calibri"/>
          <w:b/>
          <w:b/>
          <w:bCs/>
          <w:color w:val="00B0F0"/>
          <w:szCs w:val="24"/>
        </w:rPr>
      </w:pPr>
      <w:r>
        <w:rPr>
          <w:rFonts w:eastAsia="Calibri"/>
          <w:b/>
          <w:bCs/>
          <w:color w:val="00B0F0"/>
          <w:szCs w:val="24"/>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szCs w:val="24"/>
        </w:rPr>
        <w:t>Правила и услови за друге и помоћне објекте на парцели</w:t>
      </w:r>
    </w:p>
    <w:p>
      <w:pPr>
        <w:pStyle w:val="Normal"/>
        <w:tabs>
          <w:tab w:val="clear" w:pos="720"/>
          <w:tab w:val="left" w:pos="426" w:leader="none"/>
        </w:tabs>
        <w:suppressAutoHyphens w:val="false"/>
        <w:ind w:firstLine="426"/>
        <w:rPr>
          <w:rFonts w:ascii="Times New Roman" w:hAnsi="Times New Roman"/>
        </w:rPr>
      </w:pPr>
      <w:r>
        <w:rPr>
          <w:rFonts w:eastAsia="Times New Roman"/>
          <w:color w:val="000000" w:themeColor="text1"/>
          <w:szCs w:val="24"/>
        </w:rPr>
        <w:t xml:space="preserve">Други објекти који се могу градити на парцели </w:t>
      </w:r>
      <w:r>
        <w:rPr>
          <w:rFonts w:eastAsia="Times New Roman"/>
          <w:color w:val="000000" w:themeColor="text1"/>
          <w:szCs w:val="24"/>
          <w:lang w:val="sr-RS"/>
        </w:rPr>
        <w:t xml:space="preserve">морају бити у функцији намене простора и </w:t>
      </w:r>
      <w:r>
        <w:rPr>
          <w:rFonts w:eastAsia="Times New Roman"/>
          <w:color w:val="000000" w:themeColor="text1"/>
          <w:szCs w:val="24"/>
        </w:rPr>
        <w:t>могу бити: портирница</w:t>
      </w:r>
      <w:r>
        <w:rPr>
          <w:rFonts w:eastAsia="Times New Roman"/>
          <w:color w:val="000000" w:themeColor="text1"/>
          <w:szCs w:val="24"/>
          <w:lang w:val="sr-RS"/>
        </w:rPr>
        <w:t>, надстрешнице и платои за контејнере за муљ, силоси за муљ, базени за таложење – одмуљавање, шахте</w:t>
      </w:r>
      <w:r>
        <w:rPr>
          <w:rFonts w:eastAsia="Times New Roman"/>
          <w:color w:val="000000" w:themeColor="text1"/>
          <w:szCs w:val="24"/>
        </w:rPr>
        <w:t xml:space="preserve"> и други </w:t>
      </w:r>
      <w:r>
        <w:rPr>
          <w:rFonts w:eastAsia="Times New Roman"/>
          <w:color w:val="000000" w:themeColor="text1"/>
          <w:szCs w:val="24"/>
          <w:lang w:val="sr-RS"/>
        </w:rPr>
        <w:t xml:space="preserve">сл. , а </w:t>
      </w:r>
      <w:r>
        <w:rPr>
          <w:rFonts w:eastAsia="Times New Roman"/>
          <w:color w:val="000000" w:themeColor="text1"/>
          <w:szCs w:val="24"/>
        </w:rPr>
        <w:t xml:space="preserve"> који су у саставу технолошког процеса</w:t>
      </w:r>
      <w:r>
        <w:rPr>
          <w:rFonts w:eastAsia="Times New Roman"/>
          <w:color w:val="000000" w:themeColor="text1"/>
          <w:szCs w:val="24"/>
          <w:lang w:val="sr-RS"/>
        </w:rPr>
        <w:t>.</w:t>
      </w:r>
    </w:p>
    <w:p>
      <w:pPr>
        <w:pStyle w:val="Normal"/>
        <w:tabs>
          <w:tab w:val="clear" w:pos="720"/>
          <w:tab w:val="left" w:pos="426" w:leader="none"/>
        </w:tabs>
        <w:suppressAutoHyphens w:val="false"/>
        <w:ind w:firstLine="426"/>
        <w:rPr>
          <w:rFonts w:ascii="Times New Roman" w:hAnsi="Times New Roman"/>
        </w:rPr>
      </w:pPr>
      <w:r>
        <w:rPr>
          <w:rFonts w:eastAsia="Times New Roman"/>
          <w:color w:val="000000" w:themeColor="text1"/>
          <w:szCs w:val="24"/>
        </w:rPr>
        <w:t xml:space="preserve">Објекти се могу градити као слободностојећи (или уз главне) са спратношћу </w:t>
      </w:r>
      <w:r>
        <w:rPr>
          <w:rFonts w:eastAsia="Times New Roman"/>
          <w:b/>
          <w:color w:val="000000" w:themeColor="text1"/>
          <w:szCs w:val="24"/>
        </w:rPr>
        <w:t>П</w:t>
      </w:r>
      <w:r>
        <w:rPr>
          <w:rFonts w:eastAsia="Times New Roman"/>
          <w:color w:val="000000" w:themeColor="text1"/>
          <w:szCs w:val="24"/>
        </w:rPr>
        <w:t xml:space="preserve">. Висина објекта до 5,00 </w:t>
      </w:r>
      <w:r>
        <w:rPr>
          <w:rFonts w:eastAsia="Times New Roman"/>
          <w:color w:val="000000" w:themeColor="text1"/>
          <w:szCs w:val="24"/>
          <w:lang w:val="sr-Latn-RS"/>
        </w:rPr>
        <w:t>m</w:t>
      </w:r>
      <w:r>
        <w:rPr>
          <w:rFonts w:eastAsia="Times New Roman"/>
          <w:color w:val="000000" w:themeColor="text1"/>
          <w:szCs w:val="24"/>
        </w:rPr>
        <w:t xml:space="preserve"> (или више ако технологија -процес пречишћавања - то захтева) (венац или слеме).</w:t>
      </w:r>
      <w:bookmarkStart w:id="56" w:name="_Hlk125975346"/>
      <w:bookmarkEnd w:id="56"/>
    </w:p>
    <w:p>
      <w:pPr>
        <w:pStyle w:val="Normal"/>
        <w:tabs>
          <w:tab w:val="clear" w:pos="720"/>
          <w:tab w:val="left" w:pos="426" w:leader="none"/>
        </w:tabs>
        <w:suppressAutoHyphens w:val="false"/>
        <w:ind w:firstLine="426"/>
        <w:rPr>
          <w:rFonts w:ascii="Times New Roman" w:hAnsi="Times New Roman" w:eastAsia="Times New Roman"/>
          <w:color w:val="00B0F0"/>
          <w:szCs w:val="24"/>
        </w:rPr>
      </w:pPr>
      <w:r>
        <w:rPr>
          <w:rFonts w:eastAsia="Times New Roman"/>
          <w:color w:val="00B0F0"/>
          <w:szCs w:val="24"/>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Times New Roman"/>
          <w:b/>
          <w:bCs/>
          <w:szCs w:val="24"/>
        </w:rPr>
        <w:t>Ограђивање грађевинских парцела</w:t>
      </w:r>
    </w:p>
    <w:p>
      <w:pPr>
        <w:pStyle w:val="Normal"/>
        <w:suppressAutoHyphens w:val="false"/>
        <w:ind w:firstLine="426"/>
        <w:rPr>
          <w:rFonts w:ascii="Times New Roman" w:hAnsi="Times New Roman"/>
        </w:rPr>
      </w:pPr>
      <w:r>
        <w:rPr>
          <w:rFonts w:eastAsia="Times New Roman"/>
          <w:bCs/>
          <w:color w:val="000000" w:themeColor="text1"/>
          <w:szCs w:val="24"/>
        </w:rPr>
        <w:tab/>
        <w:t xml:space="preserve">Овим Планом се предвиђа ограђивање грађевинске парцеле за ППОВ </w:t>
      </w:r>
      <w:r>
        <w:rPr>
          <w:rFonts w:eastAsia="Times New Roman"/>
          <w:bCs/>
          <w:color w:val="000000" w:themeColor="text1"/>
          <w:szCs w:val="24"/>
          <w:lang w:val="sr-RS"/>
        </w:rPr>
        <w:t>са свих страна. Потез дуж реке</w:t>
      </w:r>
      <w:r>
        <w:rPr>
          <w:color w:val="000000" w:themeColor="text1"/>
          <w:szCs w:val="24"/>
        </w:rPr>
        <w:t xml:space="preserve"> </w:t>
      </w:r>
      <w:r>
        <w:rPr>
          <w:color w:val="000000" w:themeColor="text1"/>
          <w:szCs w:val="24"/>
          <w:lang w:val="sr-RS"/>
        </w:rPr>
        <w:t>Велика</w:t>
      </w:r>
      <w:r>
        <w:rPr>
          <w:color w:val="000000" w:themeColor="text1"/>
          <w:szCs w:val="24"/>
        </w:rPr>
        <w:t xml:space="preserve"> рек</w:t>
      </w:r>
      <w:r>
        <w:rPr>
          <w:color w:val="000000" w:themeColor="text1"/>
          <w:szCs w:val="24"/>
          <w:lang w:val="sr-RS"/>
        </w:rPr>
        <w:t>а такође оградити и заштитити место улива пречишћене воде из система ППОВ</w:t>
      </w:r>
      <w:r>
        <w:rPr>
          <w:color w:val="000000" w:themeColor="text1"/>
          <w:szCs w:val="24"/>
        </w:rPr>
        <w:t>.</w:t>
      </w:r>
      <w:r>
        <w:rPr>
          <w:color w:val="000000" w:themeColor="text1"/>
          <w:spacing w:val="1"/>
          <w:szCs w:val="24"/>
        </w:rPr>
        <w:t xml:space="preserve"> </w:t>
      </w:r>
      <w:r>
        <w:rPr>
          <w:rFonts w:eastAsia="Times New Roman"/>
          <w:color w:val="000000" w:themeColor="text1"/>
          <w:szCs w:val="24"/>
        </w:rPr>
        <w:t>Оград</w:t>
      </w:r>
      <w:r>
        <w:rPr>
          <w:rFonts w:eastAsia="Times New Roman"/>
          <w:color w:val="000000" w:themeColor="text1"/>
          <w:szCs w:val="24"/>
          <w:lang w:val="sr-RS"/>
        </w:rPr>
        <w:t xml:space="preserve">а треба да је </w:t>
      </w:r>
      <w:r>
        <w:rPr>
          <w:rFonts w:eastAsia="Times New Roman"/>
          <w:color w:val="000000" w:themeColor="text1"/>
          <w:szCs w:val="24"/>
        </w:rPr>
        <w:t>транспарентн</w:t>
      </w:r>
      <w:r>
        <w:rPr>
          <w:rFonts w:eastAsia="Times New Roman"/>
          <w:color w:val="000000" w:themeColor="text1"/>
          <w:szCs w:val="24"/>
          <w:lang w:val="sr-RS"/>
        </w:rPr>
        <w:t xml:space="preserve">а, </w:t>
      </w:r>
      <w:r>
        <w:rPr>
          <w:rFonts w:eastAsia="Times New Roman"/>
          <w:color w:val="000000" w:themeColor="text1"/>
          <w:szCs w:val="24"/>
        </w:rPr>
        <w:t xml:space="preserve">висине 2,20 </w:t>
      </w:r>
      <w:r>
        <w:rPr>
          <w:rFonts w:eastAsia="Times New Roman"/>
          <w:color w:val="000000" w:themeColor="text1"/>
          <w:szCs w:val="24"/>
          <w:lang w:val="sr-Latn-RS"/>
        </w:rPr>
        <w:t>m</w:t>
      </w:r>
      <w:r>
        <w:rPr>
          <w:rFonts w:eastAsia="Times New Roman"/>
          <w:color w:val="000000" w:themeColor="text1"/>
          <w:szCs w:val="24"/>
        </w:rPr>
        <w:t xml:space="preserve"> ради спречавања неконтролисаног уласка људи и животиња. Дозвољено је да се временом ограда озелени пуза</w:t>
      </w:r>
      <w:r>
        <w:rPr>
          <w:rFonts w:eastAsia="Times New Roman"/>
          <w:color w:val="000000" w:themeColor="text1"/>
          <w:szCs w:val="24"/>
          <w:lang w:val="sr-RS"/>
        </w:rPr>
        <w:t>в</w:t>
      </w:r>
      <w:r>
        <w:rPr>
          <w:rFonts w:eastAsia="Times New Roman"/>
          <w:color w:val="000000" w:themeColor="text1"/>
          <w:szCs w:val="24"/>
        </w:rPr>
        <w:t>ицама са унутрашње стране. Ограду поставити унутар међних линија парцеле.</w:t>
      </w:r>
    </w:p>
    <w:p>
      <w:pPr>
        <w:pStyle w:val="Normal"/>
        <w:suppressAutoHyphens w:val="false"/>
        <w:ind w:right="-1" w:hanging="0"/>
        <w:rPr>
          <w:rFonts w:ascii="Times New Roman" w:hAnsi="Times New Roman"/>
        </w:rPr>
      </w:pPr>
      <w:r>
        <w:rPr>
          <w:color w:val="000000" w:themeColor="text1"/>
          <w:szCs w:val="24"/>
        </w:rPr>
        <w:t xml:space="preserve">Цео комплекс </w:t>
      </w:r>
      <w:r>
        <w:rPr>
          <w:color w:val="000000" w:themeColor="text1"/>
          <w:szCs w:val="24"/>
          <w:lang w:val="sr-RS"/>
        </w:rPr>
        <w:t xml:space="preserve">да </w:t>
      </w:r>
      <w:r>
        <w:rPr>
          <w:color w:val="000000" w:themeColor="text1"/>
          <w:szCs w:val="24"/>
        </w:rPr>
        <w:t xml:space="preserve">је под </w:t>
      </w:r>
      <w:r>
        <w:rPr>
          <w:color w:val="000000" w:themeColor="text1"/>
          <w:szCs w:val="24"/>
          <w:lang w:val="sr-RS"/>
        </w:rPr>
        <w:t xml:space="preserve">сталним </w:t>
      </w:r>
      <w:r>
        <w:rPr>
          <w:color w:val="000000" w:themeColor="text1"/>
          <w:szCs w:val="24"/>
        </w:rPr>
        <w:t>видеонадзором из командног центра.</w:t>
      </w:r>
    </w:p>
    <w:p>
      <w:pPr>
        <w:pStyle w:val="Normal"/>
        <w:suppressAutoHyphens w:val="false"/>
        <w:ind w:right="-1" w:firstLine="720"/>
        <w:rPr>
          <w:rFonts w:ascii="Times New Roman" w:hAnsi="Times New Roman"/>
        </w:rPr>
      </w:pPr>
      <w:r>
        <w:rPr>
          <w:szCs w:val="24"/>
        </w:rPr>
        <w:t>Улаз возила у сам комплекс ППОВ је преко ул</w:t>
      </w:r>
      <w:r>
        <w:rPr>
          <w:spacing w:val="-1"/>
          <w:szCs w:val="24"/>
        </w:rPr>
        <w:t>а</w:t>
      </w:r>
      <w:r>
        <w:rPr>
          <w:spacing w:val="1"/>
          <w:szCs w:val="24"/>
        </w:rPr>
        <w:t>зне</w:t>
      </w:r>
      <w:r>
        <w:rPr>
          <w:spacing w:val="-6"/>
          <w:szCs w:val="24"/>
        </w:rPr>
        <w:t xml:space="preserve"> </w:t>
      </w:r>
      <w:r>
        <w:rPr>
          <w:spacing w:val="1"/>
          <w:szCs w:val="24"/>
        </w:rPr>
        <w:t>к</w:t>
      </w:r>
      <w:r>
        <w:rPr>
          <w:spacing w:val="-1"/>
          <w:szCs w:val="24"/>
        </w:rPr>
        <w:t>а</w:t>
      </w:r>
      <w:r>
        <w:rPr>
          <w:spacing w:val="1"/>
          <w:szCs w:val="24"/>
        </w:rPr>
        <w:t>пи</w:t>
      </w:r>
      <w:r>
        <w:rPr>
          <w:szCs w:val="24"/>
        </w:rPr>
        <w:t>је</w:t>
      </w:r>
      <w:r>
        <w:rPr>
          <w:spacing w:val="-5"/>
          <w:szCs w:val="24"/>
        </w:rPr>
        <w:t xml:space="preserve"> која </w:t>
      </w:r>
      <w:r>
        <w:rPr>
          <w:szCs w:val="24"/>
        </w:rPr>
        <w:t>је о</w:t>
      </w:r>
      <w:r>
        <w:rPr>
          <w:spacing w:val="1"/>
          <w:szCs w:val="24"/>
        </w:rPr>
        <w:t>п</w:t>
      </w:r>
      <w:r>
        <w:rPr>
          <w:szCs w:val="24"/>
        </w:rPr>
        <w:t>р</w:t>
      </w:r>
      <w:r>
        <w:rPr>
          <w:spacing w:val="-1"/>
          <w:szCs w:val="24"/>
        </w:rPr>
        <w:t>ем</w:t>
      </w:r>
      <w:r>
        <w:rPr>
          <w:szCs w:val="24"/>
        </w:rPr>
        <w:t>љ</w:t>
      </w:r>
      <w:r>
        <w:rPr>
          <w:spacing w:val="-1"/>
          <w:szCs w:val="24"/>
        </w:rPr>
        <w:t>е</w:t>
      </w:r>
      <w:r>
        <w:rPr>
          <w:spacing w:val="1"/>
          <w:szCs w:val="24"/>
        </w:rPr>
        <w:t>н</w:t>
      </w:r>
      <w:r>
        <w:rPr>
          <w:szCs w:val="24"/>
        </w:rPr>
        <w:t>а</w:t>
      </w:r>
      <w:r>
        <w:rPr>
          <w:spacing w:val="-1"/>
          <w:szCs w:val="24"/>
        </w:rPr>
        <w:t xml:space="preserve"> </w:t>
      </w:r>
      <w:r>
        <w:rPr>
          <w:szCs w:val="24"/>
        </w:rPr>
        <w:t>ви</w:t>
      </w:r>
      <w:r>
        <w:rPr>
          <w:spacing w:val="1"/>
          <w:szCs w:val="24"/>
        </w:rPr>
        <w:t>д</w:t>
      </w:r>
      <w:r>
        <w:rPr>
          <w:spacing w:val="-1"/>
          <w:szCs w:val="24"/>
        </w:rPr>
        <w:t>е</w:t>
      </w:r>
      <w:r>
        <w:rPr>
          <w:szCs w:val="24"/>
        </w:rPr>
        <w:t xml:space="preserve">о </w:t>
      </w:r>
      <w:r>
        <w:rPr>
          <w:spacing w:val="1"/>
          <w:szCs w:val="24"/>
        </w:rPr>
        <w:t>н</w:t>
      </w:r>
      <w:r>
        <w:rPr>
          <w:spacing w:val="-1"/>
          <w:szCs w:val="24"/>
        </w:rPr>
        <w:t>а</w:t>
      </w:r>
      <w:r>
        <w:rPr>
          <w:szCs w:val="24"/>
        </w:rPr>
        <w:t>д</w:t>
      </w:r>
      <w:r>
        <w:rPr>
          <w:spacing w:val="1"/>
          <w:szCs w:val="24"/>
        </w:rPr>
        <w:t>з</w:t>
      </w:r>
      <w:r>
        <w:rPr>
          <w:szCs w:val="24"/>
        </w:rPr>
        <w:t>ором и таблом за упозорење.</w:t>
      </w:r>
    </w:p>
    <w:p>
      <w:pPr>
        <w:pStyle w:val="Normal"/>
        <w:suppressAutoHyphens w:val="false"/>
        <w:ind w:right="-1" w:hanging="0"/>
        <w:rPr>
          <w:rFonts w:ascii="Times New Roman" w:hAnsi="Times New Roman"/>
        </w:rPr>
      </w:pPr>
      <w:r>
        <w:rPr>
          <w:szCs w:val="24"/>
        </w:rPr>
        <w:t xml:space="preserve">Капија је колско-пешачка. Колска је ширине 6,0 </w:t>
      </w:r>
      <w:r>
        <w:rPr>
          <w:rFonts w:eastAsia="" w:cs="Times New Roman" w:eastAsiaTheme="minorEastAsia"/>
          <w:color w:val="auto"/>
          <w:kern w:val="0"/>
          <w:sz w:val="24"/>
          <w:szCs w:val="24"/>
          <w:lang w:val="sr-Latn-RS" w:eastAsia="en-US" w:bidi="ar-SA"/>
        </w:rPr>
        <w:t>m</w:t>
      </w:r>
      <w:r>
        <w:rPr>
          <w:szCs w:val="24"/>
        </w:rPr>
        <w:t xml:space="preserve"> и моторизована, а пешачка је ширине 1,0 </w:t>
      </w:r>
      <w:r>
        <w:rPr>
          <w:rFonts w:eastAsia="Calibri" w:eastAsiaTheme="minorHAnsi"/>
          <w:szCs w:val="24"/>
          <w:lang w:val="sr-RS"/>
        </w:rPr>
        <w:t>m</w:t>
      </w:r>
      <w:r>
        <w:rPr>
          <w:szCs w:val="24"/>
        </w:rPr>
        <w:t xml:space="preserve">. </w:t>
      </w:r>
      <w:bookmarkStart w:id="57" w:name="_Hlk125975375"/>
      <w:bookmarkEnd w:id="57"/>
    </w:p>
    <w:p>
      <w:pPr>
        <w:pStyle w:val="Normal"/>
        <w:tabs>
          <w:tab w:val="clear" w:pos="720"/>
          <w:tab w:val="left" w:pos="426" w:leader="none"/>
        </w:tabs>
        <w:suppressAutoHyphens w:val="false"/>
        <w:rPr>
          <w:rFonts w:ascii="Times New Roman" w:hAnsi="Times New Roman"/>
        </w:rPr>
      </w:pPr>
      <w:r>
        <w:rPr>
          <w:szCs w:val="24"/>
          <w:lang w:val="sr-RS"/>
        </w:rPr>
        <w:t>Поставити и другу п</w:t>
      </w:r>
      <w:r>
        <w:rPr>
          <w:szCs w:val="24"/>
        </w:rPr>
        <w:t>ешачк</w:t>
      </w:r>
      <w:r>
        <w:rPr>
          <w:szCs w:val="24"/>
          <w:lang w:val="sr-RS"/>
        </w:rPr>
        <w:t>у капију према реци ради приступа и контроли места излива пречишћене воде у Велику Реку.</w:t>
      </w:r>
    </w:p>
    <w:p>
      <w:pPr>
        <w:pStyle w:val="Normal"/>
        <w:tabs>
          <w:tab w:val="clear" w:pos="720"/>
          <w:tab w:val="left" w:pos="426" w:leader="none"/>
        </w:tabs>
        <w:suppressAutoHyphens w:val="false"/>
        <w:rPr>
          <w:rFonts w:ascii="Times New Roman" w:hAnsi="Times New Roman" w:eastAsia="Calibri" w:eastAsiaTheme="minorHAnsi"/>
          <w:b/>
          <w:b/>
          <w:bCs/>
          <w:szCs w:val="24"/>
        </w:rPr>
      </w:pPr>
      <w:r>
        <w:rPr>
          <w:rFonts w:eastAsia="Calibri" w:eastAsiaTheme="minorHAnsi"/>
          <w:b/>
          <w:bCs/>
          <w:szCs w:val="24"/>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szCs w:val="24"/>
        </w:rPr>
        <w:t>Паркирање на парцели</w:t>
      </w:r>
    </w:p>
    <w:p>
      <w:pPr>
        <w:pStyle w:val="Normal"/>
        <w:tabs>
          <w:tab w:val="clear" w:pos="720"/>
          <w:tab w:val="left" w:pos="426" w:leader="none"/>
        </w:tabs>
        <w:suppressAutoHyphens w:val="false"/>
        <w:ind w:firstLine="426"/>
        <w:rPr>
          <w:rFonts w:ascii="Times New Roman" w:hAnsi="Times New Roman"/>
        </w:rPr>
      </w:pPr>
      <w:r>
        <w:rPr>
          <w:rFonts w:eastAsia="Times New Roman"/>
          <w:szCs w:val="24"/>
          <w:lang w:val="sr-RS"/>
        </w:rPr>
        <w:t xml:space="preserve">Унутар комплекса </w:t>
      </w:r>
      <w:r>
        <w:rPr>
          <w:rFonts w:eastAsia="Times New Roman"/>
          <w:szCs w:val="24"/>
        </w:rPr>
        <w:t xml:space="preserve">за ППОВ </w:t>
      </w:r>
      <w:r>
        <w:rPr>
          <w:rFonts w:eastAsia="Times New Roman"/>
          <w:szCs w:val="24"/>
          <w:lang w:val="sr-RS"/>
        </w:rPr>
        <w:t>д</w:t>
      </w:r>
      <w:r>
        <w:rPr>
          <w:rFonts w:eastAsia="Times New Roman"/>
          <w:szCs w:val="24"/>
        </w:rPr>
        <w:t xml:space="preserve">озвољено је паркирање возила искључиво </w:t>
      </w:r>
      <w:r>
        <w:rPr>
          <w:rFonts w:eastAsia="Times New Roman"/>
          <w:szCs w:val="24"/>
          <w:lang w:val="sr-RS"/>
        </w:rPr>
        <w:t>за особље које ради у објекту</w:t>
      </w:r>
      <w:r>
        <w:rPr>
          <w:rFonts w:eastAsia="Times New Roman"/>
          <w:szCs w:val="24"/>
        </w:rPr>
        <w:t xml:space="preserve">. Величина паркинг места је 5,00 x 2,5m. </w:t>
      </w:r>
    </w:p>
    <w:p>
      <w:pPr>
        <w:pStyle w:val="Normal"/>
        <w:tabs>
          <w:tab w:val="clear" w:pos="720"/>
          <w:tab w:val="left" w:pos="426" w:leader="none"/>
        </w:tabs>
        <w:suppressAutoHyphens w:val="false"/>
        <w:ind w:firstLine="426"/>
        <w:rPr>
          <w:rFonts w:ascii="Times New Roman" w:hAnsi="Times New Roman"/>
        </w:rPr>
      </w:pPr>
      <w:r>
        <w:rPr>
          <w:rFonts w:eastAsia="Times New Roman"/>
          <w:szCs w:val="24"/>
        </w:rPr>
        <w:t>Број паркинг места:</w:t>
      </w:r>
    </w:p>
    <w:p>
      <w:pPr>
        <w:pStyle w:val="Normal"/>
        <w:tabs>
          <w:tab w:val="clear" w:pos="720"/>
          <w:tab w:val="left" w:pos="426" w:leader="none"/>
        </w:tabs>
        <w:suppressAutoHyphens w:val="false"/>
        <w:spacing w:lineRule="auto" w:line="276"/>
        <w:jc w:val="left"/>
        <w:rPr>
          <w:rFonts w:ascii="Times New Roman" w:hAnsi="Times New Roman"/>
        </w:rPr>
      </w:pPr>
      <w:r>
        <w:rPr>
          <w:rFonts w:eastAsia="Times New Roman"/>
          <w:szCs w:val="24"/>
        </w:rPr>
        <w:tab/>
        <w:t>мин. 3 паркинг места у оквиру комплекса ППОВ – само за службена возила.</w:t>
      </w:r>
      <w:r>
        <w:rPr>
          <w:rFonts w:eastAsia="Times New Roman"/>
          <w:szCs w:val="24"/>
          <w:lang w:val="sr-RS"/>
        </w:rPr>
        <w:t xml:space="preserve"> </w:t>
      </w:r>
    </w:p>
    <w:p>
      <w:pPr>
        <w:pStyle w:val="Normal"/>
        <w:tabs>
          <w:tab w:val="clear" w:pos="720"/>
          <w:tab w:val="left" w:pos="426" w:leader="none"/>
        </w:tabs>
        <w:suppressAutoHyphens w:val="false"/>
        <w:ind w:firstLine="426"/>
        <w:rPr>
          <w:rFonts w:ascii="Times New Roman" w:hAnsi="Times New Roman"/>
        </w:rPr>
      </w:pPr>
      <w:r>
        <w:rPr>
          <w:rFonts w:eastAsia="Calibri" w:eastAsiaTheme="minorHAnsi"/>
          <w:szCs w:val="24"/>
          <w:lang w:val="sr-RS"/>
        </w:rPr>
        <w:t xml:space="preserve">Ако је потребно планирати и једно одговарајуће ПМ за службена комби возила или мање камионе. </w:t>
      </w:r>
    </w:p>
    <w:p>
      <w:pPr>
        <w:pStyle w:val="Normal"/>
        <w:tabs>
          <w:tab w:val="clear" w:pos="720"/>
          <w:tab w:val="left" w:pos="426" w:leader="none"/>
        </w:tabs>
        <w:suppressAutoHyphens w:val="false"/>
        <w:ind w:firstLine="426"/>
        <w:rPr>
          <w:rFonts w:ascii="Times New Roman" w:hAnsi="Times New Roman" w:eastAsia="Calibri" w:eastAsiaTheme="minorHAnsi"/>
          <w:b/>
          <w:b/>
          <w:bCs/>
          <w:szCs w:val="24"/>
        </w:rPr>
      </w:pPr>
      <w:r>
        <w:rPr>
          <w:rFonts w:eastAsia="Calibri" w:eastAsiaTheme="minorHAnsi"/>
          <w:b/>
          <w:bCs/>
          <w:szCs w:val="24"/>
        </w:rPr>
      </w:r>
    </w:p>
    <w:p>
      <w:pPr>
        <w:pStyle w:val="Normal"/>
        <w:numPr>
          <w:ilvl w:val="0"/>
          <w:numId w:val="10"/>
        </w:numPr>
        <w:tabs>
          <w:tab w:val="clear" w:pos="720"/>
          <w:tab w:val="left" w:pos="426" w:leader="none"/>
        </w:tabs>
        <w:suppressAutoHyphens w:val="false"/>
        <w:ind w:left="0" w:hanging="0"/>
        <w:rPr>
          <w:rFonts w:ascii="Times New Roman" w:hAnsi="Times New Roman"/>
          <w:b/>
          <w:b/>
          <w:bCs/>
        </w:rPr>
      </w:pPr>
      <w:r>
        <w:rPr>
          <w:rFonts w:eastAsia="Calibri" w:eastAsiaTheme="minorHAnsi"/>
          <w:b/>
          <w:bCs/>
          <w:szCs w:val="24"/>
        </w:rPr>
        <w:t xml:space="preserve">Посебна правила грађења за ППОВ </w:t>
      </w:r>
    </w:p>
    <w:p>
      <w:pPr>
        <w:pStyle w:val="Normal"/>
        <w:tabs>
          <w:tab w:val="clear" w:pos="720"/>
          <w:tab w:val="left" w:pos="426" w:leader="none"/>
        </w:tabs>
        <w:suppressAutoHyphens w:val="false"/>
        <w:ind w:right="111" w:hanging="0"/>
        <w:rPr>
          <w:rFonts w:ascii="Times New Roman" w:hAnsi="Times New Roman" w:eastAsia="Calibri" w:eastAsiaTheme="minorHAnsi"/>
          <w:szCs w:val="24"/>
        </w:rPr>
      </w:pPr>
      <w:r>
        <w:rPr>
          <w:rFonts w:eastAsia="Calibri" w:eastAsiaTheme="minorHAnsi"/>
          <w:szCs w:val="24"/>
        </w:rPr>
      </w:r>
    </w:p>
    <w:p>
      <w:pPr>
        <w:pStyle w:val="Normal"/>
        <w:tabs>
          <w:tab w:val="clear" w:pos="720"/>
          <w:tab w:val="left" w:pos="426" w:leader="none"/>
        </w:tabs>
        <w:suppressAutoHyphens w:val="false"/>
        <w:ind w:right="111" w:hanging="0"/>
        <w:rPr>
          <w:rFonts w:ascii="Times New Roman" w:hAnsi="Times New Roman"/>
        </w:rPr>
      </w:pPr>
      <w:r>
        <w:rPr>
          <w:rFonts w:eastAsia="Calibri" w:eastAsiaTheme="minorHAnsi"/>
          <w:szCs w:val="24"/>
        </w:rPr>
        <w:t>Објекти ................................................................................................слободностојећи</w:t>
      </w:r>
    </w:p>
    <w:p>
      <w:pPr>
        <w:pStyle w:val="Normal"/>
        <w:tabs>
          <w:tab w:val="clear" w:pos="720"/>
          <w:tab w:val="left" w:pos="426" w:leader="none"/>
        </w:tabs>
        <w:suppressAutoHyphens w:val="false"/>
        <w:ind w:right="21" w:hanging="0"/>
        <w:rPr>
          <w:rFonts w:ascii="Times New Roman" w:hAnsi="Times New Roman"/>
        </w:rPr>
      </w:pPr>
      <w:r>
        <w:rPr>
          <w:rFonts w:eastAsia="Calibri" w:eastAsiaTheme="minorHAnsi"/>
          <w:szCs w:val="24"/>
        </w:rPr>
        <w:t>Највећи дозвољени индекс заузетости  ................................................................ 40%</w:t>
      </w:r>
    </w:p>
    <w:p>
      <w:pPr>
        <w:pStyle w:val="Normal"/>
        <w:tabs>
          <w:tab w:val="clear" w:pos="720"/>
          <w:tab w:val="left" w:pos="426" w:leader="none"/>
        </w:tabs>
        <w:suppressAutoHyphens w:val="false"/>
        <w:ind w:right="21" w:hanging="0"/>
        <w:rPr>
          <w:rFonts w:ascii="Times New Roman" w:hAnsi="Times New Roman"/>
        </w:rPr>
      </w:pPr>
      <w:bookmarkStart w:id="58" w:name="_Hlk126317000"/>
      <w:r>
        <w:rPr>
          <w:rFonts w:eastAsia="Calibri" w:eastAsiaTheme="minorHAnsi"/>
          <w:szCs w:val="24"/>
        </w:rPr>
        <w:t>Максимална спратност         П (приземље са могућом подземном етажом - базен )</w:t>
      </w:r>
      <w:bookmarkEnd w:id="58"/>
    </w:p>
    <w:p>
      <w:pPr>
        <w:pStyle w:val="Normal"/>
        <w:tabs>
          <w:tab w:val="clear" w:pos="720"/>
          <w:tab w:val="left" w:pos="426" w:leader="none"/>
        </w:tabs>
        <w:suppressAutoHyphens w:val="false"/>
        <w:ind w:right="291" w:hanging="0"/>
        <w:rPr>
          <w:rFonts w:ascii="Times New Roman" w:hAnsi="Times New Roman"/>
        </w:rPr>
      </w:pPr>
      <w:r>
        <w:rPr>
          <w:rFonts w:eastAsia="Calibri" w:eastAsiaTheme="minorHAnsi"/>
          <w:szCs w:val="24"/>
        </w:rPr>
        <w:t>Зелене површине ............................................................................................ мин. 20%</w:t>
      </w:r>
    </w:p>
    <w:p>
      <w:pPr>
        <w:pStyle w:val="Normal"/>
        <w:tabs>
          <w:tab w:val="clear" w:pos="720"/>
          <w:tab w:val="left" w:pos="426" w:leader="none"/>
        </w:tabs>
        <w:ind w:right="1984" w:hanging="0"/>
        <w:rPr>
          <w:rFonts w:ascii="Times New Roman" w:hAnsi="Times New Roman" w:eastAsia="Calibri" w:eastAsiaTheme="minorHAnsi"/>
          <w:b/>
          <w:b/>
          <w:bCs/>
          <w:szCs w:val="24"/>
        </w:rPr>
      </w:pPr>
      <w:r>
        <w:rPr>
          <w:rFonts w:eastAsia="Calibri" w:eastAsiaTheme="minorHAnsi"/>
          <w:b/>
          <w:bCs/>
          <w:szCs w:val="24"/>
        </w:rPr>
      </w:r>
    </w:p>
    <w:p>
      <w:pPr>
        <w:pStyle w:val="Normal"/>
        <w:tabs>
          <w:tab w:val="clear" w:pos="720"/>
          <w:tab w:val="left" w:pos="426" w:leader="none"/>
        </w:tabs>
        <w:ind w:right="1984" w:hanging="0"/>
        <w:rPr>
          <w:rFonts w:ascii="Times New Roman" w:hAnsi="Times New Roman" w:eastAsia="Calibri" w:eastAsiaTheme="minorHAnsi"/>
          <w:b/>
          <w:b/>
          <w:bCs/>
          <w:szCs w:val="24"/>
        </w:rPr>
      </w:pPr>
      <w:r>
        <w:rPr>
          <w:rFonts w:eastAsia="Calibri" w:eastAsiaTheme="minorHAnsi"/>
          <w:b/>
          <w:bCs/>
          <w:szCs w:val="24"/>
        </w:rPr>
      </w:r>
    </w:p>
    <w:p>
      <w:pPr>
        <w:pStyle w:val="Style62"/>
        <w:widowControl/>
        <w:shd w:val="clear" w:color="auto" w:fill="FFFFFF" w:themeFill="background1"/>
        <w:tabs>
          <w:tab w:val="clear" w:pos="720"/>
          <w:tab w:val="left" w:pos="426" w:leader="none"/>
          <w:tab w:val="left" w:pos="1080" w:leader="none"/>
          <w:tab w:val="left" w:pos="4680" w:leader="none"/>
        </w:tabs>
        <w:spacing w:lineRule="exact" w:line="283" w:before="5" w:after="0"/>
        <w:ind w:right="-1" w:hanging="0"/>
        <w:rPr/>
      </w:pPr>
      <w:r>
        <w:rPr>
          <w:rStyle w:val="FontStyle181"/>
          <w:b/>
          <w:bCs/>
          <w:sz w:val="24"/>
          <w:szCs w:val="24"/>
        </w:rPr>
        <w:t xml:space="preserve">9. </w:t>
      </w:r>
      <w:bookmarkStart w:id="59" w:name="_Hlk130917670"/>
      <w:r>
        <w:rPr>
          <w:rStyle w:val="FontStyle181"/>
          <w:b/>
          <w:bCs/>
          <w:sz w:val="24"/>
          <w:szCs w:val="24"/>
        </w:rPr>
        <w:t>Правила грађења и у</w:t>
      </w:r>
      <w:r>
        <w:rPr>
          <w:rFonts w:eastAsia="Calibri" w:eastAsiaTheme="minorHAnsi"/>
          <w:b/>
          <w:bCs/>
        </w:rPr>
        <w:t>слови прикључења на јавну инфраструктуру</w:t>
      </w:r>
      <w:bookmarkEnd w:id="59"/>
    </w:p>
    <w:p>
      <w:pPr>
        <w:pStyle w:val="Style62"/>
        <w:widowControl/>
        <w:shd w:val="clear" w:color="auto" w:fill="FFFFFF" w:themeFill="background1"/>
        <w:tabs>
          <w:tab w:val="clear" w:pos="720"/>
          <w:tab w:val="left" w:pos="426" w:leader="none"/>
          <w:tab w:val="left" w:pos="1080" w:leader="none"/>
          <w:tab w:val="left" w:pos="4680" w:leader="none"/>
        </w:tabs>
        <w:spacing w:lineRule="exact" w:line="283" w:before="5" w:after="0"/>
        <w:ind w:left="720" w:right="-1" w:hanging="0"/>
        <w:rPr>
          <w:rFonts w:ascii="Times New Roman" w:hAnsi="Times New Roman" w:eastAsia="Calibri" w:eastAsiaTheme="minorHAnsi"/>
          <w:b/>
          <w:b/>
          <w:bCs/>
        </w:rPr>
      </w:pPr>
      <w:r>
        <w:rPr>
          <w:rFonts w:eastAsia="Calibri" w:eastAsiaTheme="minorHAnsi"/>
          <w:b/>
          <w:bCs/>
        </w:rPr>
      </w:r>
    </w:p>
    <w:p>
      <w:pPr>
        <w:pStyle w:val="Style62"/>
        <w:widowControl/>
        <w:tabs>
          <w:tab w:val="clear" w:pos="720"/>
          <w:tab w:val="left" w:pos="1080" w:leader="none"/>
        </w:tabs>
        <w:spacing w:lineRule="exact" w:line="283" w:before="5" w:after="0"/>
        <w:ind w:hanging="0"/>
        <w:rPr/>
      </w:pPr>
      <w:r>
        <w:rPr>
          <w:rStyle w:val="FontStyle181"/>
          <w:b/>
          <w:sz w:val="24"/>
          <w:szCs w:val="24"/>
        </w:rPr>
        <w:t>9.1. Електроенергетска мрежа</w:t>
      </w:r>
    </w:p>
    <w:p>
      <w:pPr>
        <w:pStyle w:val="Style62"/>
        <w:widowControl/>
        <w:tabs>
          <w:tab w:val="clear" w:pos="720"/>
          <w:tab w:val="left" w:pos="1080" w:leader="none"/>
        </w:tabs>
        <w:spacing w:lineRule="exact" w:line="283" w:before="5" w:after="0"/>
        <w:ind w:hanging="0"/>
        <w:rPr/>
      </w:pPr>
      <w:r>
        <w:rPr>
          <w:rStyle w:val="FontStyle181"/>
          <w:sz w:val="24"/>
          <w:szCs w:val="24"/>
          <w:lang w:val="sr-CS"/>
        </w:rPr>
        <w:tab/>
        <w:t>Изградња електроенергетских објеката на планском подручју може се вршити на основу одобрене инвестиционо техничке документације и прибав</w:t>
      </w:r>
      <w:r>
        <w:rPr>
          <w:rStyle w:val="FontStyle181"/>
          <w:sz w:val="24"/>
          <w:szCs w:val="24"/>
          <w:lang w:val="sr-RS"/>
        </w:rPr>
        <w:t>ље</w:t>
      </w:r>
      <w:r>
        <w:rPr>
          <w:rStyle w:val="FontStyle181"/>
          <w:sz w:val="24"/>
          <w:szCs w:val="24"/>
          <w:lang w:val="sr-CS"/>
        </w:rPr>
        <w:t>них одговарајућих решења  и дозвола сагласно Закону о планирању и изградњи и Закона о енергетици.</w:t>
      </w:r>
    </w:p>
    <w:p>
      <w:pPr>
        <w:pStyle w:val="Style62"/>
        <w:widowControl/>
        <w:tabs>
          <w:tab w:val="clear" w:pos="720"/>
          <w:tab w:val="left" w:pos="1080" w:leader="none"/>
        </w:tabs>
        <w:spacing w:lineRule="exact" w:line="283" w:before="5" w:after="0"/>
        <w:ind w:hanging="0"/>
        <w:rPr/>
      </w:pPr>
      <w:r>
        <w:rPr>
          <w:rStyle w:val="FontStyle181"/>
          <w:sz w:val="24"/>
          <w:szCs w:val="24"/>
          <w:lang w:val="sr-CS"/>
        </w:rPr>
        <w:tab/>
        <w:t>Заштитни појас за надземне електроенергетске водове, са обе стране вода од крајњег фазног проводника, има ширине:</w:t>
      </w:r>
    </w:p>
    <w:p>
      <w:pPr>
        <w:pStyle w:val="Style62"/>
        <w:widowControl/>
        <w:numPr>
          <w:ilvl w:val="0"/>
          <w:numId w:val="32"/>
        </w:numPr>
        <w:tabs>
          <w:tab w:val="clear" w:pos="720"/>
          <w:tab w:val="left" w:pos="1080" w:leader="none"/>
        </w:tabs>
        <w:spacing w:lineRule="exact" w:line="283" w:before="5" w:after="0"/>
        <w:rPr/>
      </w:pPr>
      <w:r>
        <w:rPr>
          <w:rStyle w:val="FontStyle181"/>
          <w:sz w:val="24"/>
          <w:szCs w:val="24"/>
          <w:lang w:val="sr-CS"/>
        </w:rPr>
        <w:t>За напонски ниво 1 к</w:t>
      </w:r>
      <w:r>
        <w:rPr>
          <w:rStyle w:val="FontStyle181"/>
          <w:sz w:val="24"/>
          <w:szCs w:val="24"/>
        </w:rPr>
        <w:t>V</w:t>
      </w:r>
      <w:r>
        <w:rPr>
          <w:rStyle w:val="FontStyle181"/>
          <w:sz w:val="24"/>
          <w:szCs w:val="24"/>
          <w:lang w:val="ru-RU"/>
        </w:rPr>
        <w:t xml:space="preserve"> до 35 </w:t>
      </w:r>
      <w:r>
        <w:rPr>
          <w:rStyle w:val="FontStyle181"/>
          <w:sz w:val="24"/>
          <w:szCs w:val="24"/>
          <w:lang w:val="sr-CS"/>
        </w:rPr>
        <w:t>к</w:t>
      </w:r>
      <w:r>
        <w:rPr>
          <w:rStyle w:val="FontStyle181"/>
          <w:sz w:val="24"/>
          <w:szCs w:val="24"/>
        </w:rPr>
        <w:t>V</w:t>
      </w:r>
    </w:p>
    <w:p>
      <w:pPr>
        <w:pStyle w:val="Style62"/>
        <w:widowControl/>
        <w:numPr>
          <w:ilvl w:val="0"/>
          <w:numId w:val="33"/>
        </w:numPr>
        <w:tabs>
          <w:tab w:val="clear" w:pos="720"/>
          <w:tab w:val="left" w:pos="1080" w:leader="none"/>
        </w:tabs>
        <w:spacing w:lineRule="exact" w:line="283" w:before="5" w:after="0"/>
        <w:rPr/>
      </w:pPr>
      <w:r>
        <w:rPr>
          <w:rStyle w:val="FontStyle181"/>
          <w:sz w:val="24"/>
          <w:szCs w:val="24"/>
          <w:lang w:val="sr-RS"/>
        </w:rPr>
        <w:t>За голе проводнике</w:t>
      </w:r>
      <w:r>
        <w:rPr>
          <w:rStyle w:val="FontStyle181"/>
          <w:sz w:val="24"/>
          <w:szCs w:val="24"/>
          <w:lang w:val="ru-RU"/>
        </w:rPr>
        <w:t xml:space="preserve"> 10 метара, кроз шумско подручје 3 </w:t>
      </w:r>
      <w:r>
        <w:rPr>
          <w:rStyle w:val="FontStyle181"/>
          <w:sz w:val="24"/>
          <w:szCs w:val="24"/>
          <w:lang w:val="sr-RS"/>
        </w:rPr>
        <w:t>метра</w:t>
      </w:r>
    </w:p>
    <w:p>
      <w:pPr>
        <w:pStyle w:val="Style62"/>
        <w:widowControl/>
        <w:numPr>
          <w:ilvl w:val="0"/>
          <w:numId w:val="33"/>
        </w:numPr>
        <w:tabs>
          <w:tab w:val="clear" w:pos="720"/>
          <w:tab w:val="left" w:pos="1080" w:leader="none"/>
        </w:tabs>
        <w:spacing w:lineRule="exact" w:line="283" w:before="5" w:after="0"/>
        <w:rPr/>
      </w:pPr>
      <w:r>
        <w:rPr>
          <w:rStyle w:val="FontStyle181"/>
          <w:sz w:val="24"/>
          <w:szCs w:val="24"/>
          <w:lang w:val="sr-CS"/>
        </w:rPr>
        <w:t>За слабо изоловане проводнике 4 метра, кроз шумско подручје 3 метра</w:t>
      </w:r>
    </w:p>
    <w:p>
      <w:pPr>
        <w:pStyle w:val="Style62"/>
        <w:widowControl/>
        <w:numPr>
          <w:ilvl w:val="0"/>
          <w:numId w:val="33"/>
        </w:numPr>
        <w:tabs>
          <w:tab w:val="clear" w:pos="720"/>
          <w:tab w:val="left" w:pos="1080" w:leader="none"/>
        </w:tabs>
        <w:spacing w:lineRule="exact" w:line="283" w:before="5" w:after="0"/>
        <w:rPr/>
      </w:pPr>
      <w:r>
        <w:rPr>
          <w:rStyle w:val="FontStyle181"/>
          <w:sz w:val="24"/>
          <w:szCs w:val="24"/>
          <w:lang w:val="sr-CS"/>
        </w:rPr>
        <w:t>За самоносеће кабловске снопове 1 метар.</w:t>
      </w:r>
    </w:p>
    <w:p>
      <w:pPr>
        <w:pStyle w:val="Style62"/>
        <w:widowControl/>
        <w:tabs>
          <w:tab w:val="clear" w:pos="720"/>
          <w:tab w:val="left" w:pos="1080" w:leader="none"/>
        </w:tabs>
        <w:spacing w:lineRule="exact" w:line="283" w:before="5" w:after="0"/>
        <w:ind w:hanging="0"/>
        <w:rPr/>
      </w:pPr>
      <w:r>
        <w:rPr>
          <w:rStyle w:val="FontStyle181"/>
          <w:sz w:val="24"/>
          <w:szCs w:val="24"/>
          <w:lang w:val="sr-CS"/>
        </w:rPr>
        <w:tab/>
        <w:t>Заштитни појас за подземне електроенергетске водове (каблове), од ивице</w:t>
      </w:r>
    </w:p>
    <w:p>
      <w:pPr>
        <w:pStyle w:val="Style62"/>
        <w:widowControl/>
        <w:tabs>
          <w:tab w:val="clear" w:pos="720"/>
          <w:tab w:val="left" w:pos="1080" w:leader="none"/>
        </w:tabs>
        <w:spacing w:lineRule="exact" w:line="283" w:before="5" w:after="0"/>
        <w:ind w:hanging="0"/>
        <w:rPr/>
      </w:pPr>
      <w:r>
        <w:rPr>
          <w:rStyle w:val="FontStyle181"/>
          <w:sz w:val="24"/>
          <w:szCs w:val="24"/>
          <w:lang w:val="sr-CS"/>
        </w:rPr>
        <w:t xml:space="preserve">бетонског канала, износи: </w:t>
      </w:r>
    </w:p>
    <w:p>
      <w:pPr>
        <w:pStyle w:val="Style62"/>
        <w:widowControl/>
        <w:numPr>
          <w:ilvl w:val="0"/>
          <w:numId w:val="34"/>
        </w:numPr>
        <w:tabs>
          <w:tab w:val="clear" w:pos="720"/>
          <w:tab w:val="left" w:pos="1080" w:leader="none"/>
        </w:tabs>
        <w:spacing w:lineRule="exact" w:line="283" w:before="5" w:after="0"/>
        <w:rPr/>
      </w:pPr>
      <w:r>
        <w:rPr>
          <w:rStyle w:val="FontStyle181"/>
          <w:sz w:val="24"/>
          <w:szCs w:val="24"/>
          <w:lang w:val="sr-CS"/>
        </w:rPr>
        <w:t>За напонски ниво 1 к</w:t>
      </w:r>
      <w:r>
        <w:rPr>
          <w:rStyle w:val="FontStyle181"/>
          <w:sz w:val="24"/>
          <w:szCs w:val="24"/>
        </w:rPr>
        <w:t>V</w:t>
      </w:r>
      <w:r>
        <w:rPr>
          <w:rStyle w:val="FontStyle181"/>
          <w:sz w:val="24"/>
          <w:szCs w:val="24"/>
          <w:lang w:val="ru-RU"/>
        </w:rPr>
        <w:t xml:space="preserve"> до 35 </w:t>
      </w:r>
      <w:r>
        <w:rPr>
          <w:rStyle w:val="FontStyle181"/>
          <w:sz w:val="24"/>
          <w:szCs w:val="24"/>
          <w:lang w:val="sr-CS"/>
        </w:rPr>
        <w:t>к</w:t>
      </w:r>
      <w:r>
        <w:rPr>
          <w:rStyle w:val="FontStyle181"/>
          <w:sz w:val="24"/>
          <w:szCs w:val="24"/>
        </w:rPr>
        <w:t>V</w:t>
      </w:r>
      <w:r>
        <w:rPr>
          <w:rStyle w:val="FontStyle181"/>
          <w:sz w:val="24"/>
          <w:szCs w:val="24"/>
          <w:lang w:val="sr-RS"/>
        </w:rPr>
        <w:t xml:space="preserve">, укључујући и </w:t>
      </w:r>
      <w:r>
        <w:rPr>
          <w:rStyle w:val="FontStyle181"/>
          <w:sz w:val="24"/>
          <w:szCs w:val="24"/>
          <w:lang w:val="ru-RU"/>
        </w:rPr>
        <w:t xml:space="preserve">35 </w:t>
      </w:r>
      <w:r>
        <w:rPr>
          <w:rStyle w:val="FontStyle181"/>
          <w:sz w:val="24"/>
          <w:szCs w:val="24"/>
          <w:lang w:val="sr-CS"/>
        </w:rPr>
        <w:t>к</w:t>
      </w:r>
      <w:r>
        <w:rPr>
          <w:rStyle w:val="FontStyle181"/>
          <w:sz w:val="24"/>
          <w:szCs w:val="24"/>
        </w:rPr>
        <w:t>V</w:t>
      </w:r>
      <w:r>
        <w:rPr>
          <w:rStyle w:val="FontStyle181"/>
          <w:sz w:val="24"/>
          <w:szCs w:val="24"/>
          <w:lang w:val="sr-RS"/>
        </w:rPr>
        <w:t>, 1 метар</w:t>
      </w:r>
    </w:p>
    <w:p>
      <w:pPr>
        <w:pStyle w:val="Style62"/>
        <w:widowControl/>
        <w:tabs>
          <w:tab w:val="clear" w:pos="720"/>
          <w:tab w:val="left" w:pos="1080" w:leader="none"/>
        </w:tabs>
        <w:spacing w:lineRule="exact" w:line="283" w:before="5" w:after="0"/>
        <w:ind w:hanging="0"/>
        <w:rPr/>
      </w:pPr>
      <w:r>
        <w:rPr>
          <w:rStyle w:val="FontStyle181"/>
          <w:sz w:val="24"/>
          <w:szCs w:val="24"/>
          <w:lang w:val="sr-CS"/>
        </w:rPr>
        <w:tab/>
        <w:t>Заштитни појас  за трансформаторске станице на отвореном износи:</w:t>
      </w:r>
    </w:p>
    <w:p>
      <w:pPr>
        <w:pStyle w:val="Style62"/>
        <w:widowControl/>
        <w:numPr>
          <w:ilvl w:val="0"/>
          <w:numId w:val="34"/>
        </w:numPr>
        <w:tabs>
          <w:tab w:val="clear" w:pos="720"/>
          <w:tab w:val="left" w:pos="1080" w:leader="none"/>
        </w:tabs>
        <w:spacing w:lineRule="exact" w:line="283" w:before="5" w:after="0"/>
        <w:rPr/>
      </w:pPr>
      <w:r>
        <w:rPr>
          <w:rStyle w:val="FontStyle181"/>
          <w:sz w:val="24"/>
          <w:szCs w:val="24"/>
          <w:lang w:val="sr-CS"/>
        </w:rPr>
        <w:t>За напонски ниво 1 к</w:t>
      </w:r>
      <w:r>
        <w:rPr>
          <w:rStyle w:val="FontStyle181"/>
          <w:sz w:val="24"/>
          <w:szCs w:val="24"/>
        </w:rPr>
        <w:t>V</w:t>
      </w:r>
      <w:r>
        <w:rPr>
          <w:rStyle w:val="FontStyle181"/>
          <w:sz w:val="24"/>
          <w:szCs w:val="24"/>
          <w:lang w:val="ru-RU"/>
        </w:rPr>
        <w:t xml:space="preserve"> до 35 </w:t>
      </w:r>
      <w:r>
        <w:rPr>
          <w:rStyle w:val="FontStyle181"/>
          <w:sz w:val="24"/>
          <w:szCs w:val="24"/>
          <w:lang w:val="sr-CS"/>
        </w:rPr>
        <w:t>к</w:t>
      </w:r>
      <w:r>
        <w:rPr>
          <w:rStyle w:val="FontStyle181"/>
          <w:sz w:val="24"/>
          <w:szCs w:val="24"/>
        </w:rPr>
        <w:t>V</w:t>
      </w:r>
      <w:r>
        <w:rPr>
          <w:rStyle w:val="FontStyle181"/>
          <w:sz w:val="24"/>
          <w:szCs w:val="24"/>
          <w:lang w:val="sr-RS"/>
        </w:rPr>
        <w:t>, 10 метара</w:t>
      </w:r>
    </w:p>
    <w:p>
      <w:pPr>
        <w:pStyle w:val="Style62"/>
        <w:widowControl/>
        <w:tabs>
          <w:tab w:val="clear" w:pos="720"/>
          <w:tab w:val="left" w:pos="1080" w:leader="none"/>
        </w:tabs>
        <w:spacing w:lineRule="exact" w:line="283" w:before="5" w:after="0"/>
        <w:ind w:hanging="0"/>
        <w:rPr>
          <w:rFonts w:ascii="Times New Roman" w:hAnsi="Times New Roman"/>
          <w:sz w:val="24"/>
          <w:szCs w:val="24"/>
          <w:lang w:val="sr-CS"/>
        </w:rPr>
      </w:pPr>
      <w:r>
        <w:rPr>
          <w:sz w:val="24"/>
          <w:szCs w:val="24"/>
          <w:lang w:val="sr-CS"/>
        </w:rPr>
      </w:r>
    </w:p>
    <w:p>
      <w:pPr>
        <w:pStyle w:val="Style62"/>
        <w:widowControl/>
        <w:tabs>
          <w:tab w:val="clear" w:pos="720"/>
          <w:tab w:val="left" w:pos="1080" w:leader="none"/>
        </w:tabs>
        <w:spacing w:lineRule="exact" w:line="283" w:before="5" w:after="0"/>
        <w:ind w:hanging="0"/>
        <w:rPr/>
      </w:pPr>
      <w:r>
        <w:rPr>
          <w:rStyle w:val="FontStyle181"/>
          <w:sz w:val="24"/>
          <w:szCs w:val="24"/>
          <w:lang w:val="sr-CS"/>
        </w:rPr>
        <w:tab/>
        <w:t>При томе се морају поштовати и други услови дефинисани „Правилником о техничким нормативима за изградњу надземних електроенергетских водова називног напона од 1 к</w:t>
      </w:r>
      <w:r>
        <w:rPr>
          <w:rStyle w:val="FontStyle181"/>
          <w:sz w:val="24"/>
          <w:szCs w:val="24"/>
        </w:rPr>
        <w:t>V</w:t>
      </w:r>
      <w:r>
        <w:rPr>
          <w:rStyle w:val="FontStyle181"/>
          <w:sz w:val="24"/>
          <w:szCs w:val="24"/>
          <w:lang w:val="ru-RU"/>
        </w:rPr>
        <w:t xml:space="preserve"> до 400 </w:t>
      </w:r>
      <w:r>
        <w:rPr>
          <w:rStyle w:val="FontStyle181"/>
          <w:sz w:val="24"/>
          <w:szCs w:val="24"/>
          <w:lang w:val="sr-CS"/>
        </w:rPr>
        <w:t>к</w:t>
      </w:r>
      <w:r>
        <w:rPr>
          <w:rStyle w:val="FontStyle181"/>
          <w:sz w:val="24"/>
          <w:szCs w:val="24"/>
        </w:rPr>
        <w:t>V</w:t>
      </w:r>
      <w:r>
        <w:rPr>
          <w:rStyle w:val="FontStyle181"/>
          <w:sz w:val="24"/>
          <w:szCs w:val="24"/>
          <w:lang w:val="sr-RS"/>
        </w:rPr>
        <w:t xml:space="preserve"> („Сл.лист. СФРЈ бр. 65/88“ и „Сл.лист СРЈ бр 18/92“)</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Електроенергетски кабловски водови се могу полагати уз услов да су обезбеђени потребни минимални размаци у односу на друге врсте инсталација објеката који износи:</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-0,4</w:t>
      </w:r>
      <w:r>
        <w:rPr>
          <w:rStyle w:val="FontStyle181"/>
          <w:sz w:val="24"/>
          <w:szCs w:val="24"/>
          <w:lang w:val="en-US"/>
        </w:rPr>
        <w:t>m</w:t>
      </w:r>
      <w:r>
        <w:rPr>
          <w:rStyle w:val="FontStyle181"/>
          <w:sz w:val="24"/>
          <w:szCs w:val="24"/>
          <w:lang w:val="sr-RS"/>
        </w:rPr>
        <w:t xml:space="preserve"> у односу на цеви водовода и канализације</w:t>
      </w:r>
    </w:p>
    <w:p>
      <w:pPr>
        <w:pStyle w:val="Style62"/>
        <w:widowControl/>
        <w:tabs>
          <w:tab w:val="clear" w:pos="720"/>
          <w:tab w:val="left" w:pos="1080" w:leader="none"/>
        </w:tabs>
        <w:spacing w:lineRule="exact" w:line="283" w:before="5" w:after="0"/>
        <w:ind w:left="720" w:hanging="0"/>
        <w:rPr/>
      </w:pPr>
      <w:r>
        <w:rPr>
          <w:rStyle w:val="FontStyle181"/>
          <w:sz w:val="24"/>
          <w:szCs w:val="24"/>
          <w:lang w:val="sr-RS"/>
        </w:rPr>
        <w:tab/>
        <w:t>-0,5</w:t>
      </w:r>
      <w:r>
        <w:rPr>
          <w:rStyle w:val="FontStyle181"/>
          <w:sz w:val="24"/>
          <w:szCs w:val="24"/>
          <w:lang w:val="en-US"/>
        </w:rPr>
        <w:t>m</w:t>
      </w:r>
      <w:r>
        <w:rPr>
          <w:rStyle w:val="FontStyle181"/>
          <w:sz w:val="24"/>
          <w:szCs w:val="24"/>
          <w:lang w:val="sr-RS"/>
        </w:rPr>
        <w:t xml:space="preserve"> у односу на телекомуникационе каблове и у односу на локалне и сервисне саобраћајнице</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-0,6</w:t>
      </w:r>
      <w:r>
        <w:rPr>
          <w:rStyle w:val="FontStyle181"/>
          <w:sz w:val="24"/>
          <w:szCs w:val="24"/>
          <w:lang w:val="en-US"/>
        </w:rPr>
        <w:t>m</w:t>
      </w:r>
      <w:r>
        <w:rPr>
          <w:rStyle w:val="FontStyle181"/>
          <w:sz w:val="24"/>
          <w:szCs w:val="24"/>
          <w:lang w:val="sr-RS"/>
        </w:rPr>
        <w:t xml:space="preserve"> од спољне ивице канала за топловод</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-0,8</w:t>
      </w:r>
      <w:r>
        <w:rPr>
          <w:rStyle w:val="FontStyle181"/>
          <w:sz w:val="24"/>
          <w:szCs w:val="24"/>
          <w:lang w:val="en-US"/>
        </w:rPr>
        <w:t>m</w:t>
      </w:r>
      <w:r>
        <w:rPr>
          <w:rStyle w:val="FontStyle181"/>
          <w:sz w:val="24"/>
          <w:szCs w:val="24"/>
          <w:lang w:val="sr-RS"/>
        </w:rPr>
        <w:t xml:space="preserve"> у односу на гасовод у насељу</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Ако се потребни размаци не могу обезбедити, енергетски каблови се полажу у заштитну цев, дужине најмање 2,</w:t>
      </w:r>
      <w:r>
        <w:rPr>
          <w:rStyle w:val="FontStyle181"/>
          <w:sz w:val="24"/>
          <w:szCs w:val="24"/>
          <w:lang w:val="en-US"/>
        </w:rPr>
        <w:t>0m</w:t>
      </w:r>
      <w:r>
        <w:rPr>
          <w:rStyle w:val="FontStyle181"/>
          <w:sz w:val="24"/>
          <w:szCs w:val="24"/>
          <w:lang w:val="sr-RS"/>
        </w:rPr>
        <w:t xml:space="preserve"> са обе стране места укрштања или целом дужином код паралелног вођења, при чему најмањи размак не може бити мањи од 0,3</w:t>
      </w:r>
      <w:r>
        <w:rPr>
          <w:rStyle w:val="FontStyle181"/>
          <w:sz w:val="24"/>
          <w:szCs w:val="24"/>
          <w:lang w:val="en-US"/>
        </w:rPr>
        <w:t>m</w:t>
      </w:r>
      <w:r>
        <w:rPr>
          <w:rStyle w:val="FontStyle181"/>
          <w:sz w:val="24"/>
          <w:szCs w:val="24"/>
          <w:lang w:val="sr-RS"/>
        </w:rPr>
        <w:t>.</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Није дозвољено код паралелног вођења, полагање енергетског кабла изнад или испод цеви водовода и канализације, гасовода и топловода.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Код укрштања са телекомуникационим каблом енергетски кабл се полаже испод истог, а угао укрштања треба да је најмање 30степени, што ближе 90степени.</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На прелазу преко саобраћајница енергетски кабл се полаже у заштитну цев на дубини минимално 0,8</w:t>
      </w:r>
      <w:r>
        <w:rPr>
          <w:rStyle w:val="FontStyle181"/>
          <w:sz w:val="24"/>
          <w:szCs w:val="24"/>
          <w:lang w:val="en-US"/>
        </w:rPr>
        <w:t>m</w:t>
      </w:r>
      <w:r>
        <w:rPr>
          <w:rStyle w:val="FontStyle181"/>
          <w:sz w:val="24"/>
          <w:szCs w:val="24"/>
          <w:lang w:val="sr-RS"/>
        </w:rPr>
        <w:t xml:space="preserve"> испод коловоза.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 xml:space="preserve">Посебни услови за ТС 10/0,4 </w:t>
      </w:r>
      <w:r>
        <w:rPr>
          <w:rStyle w:val="FontStyle181"/>
          <w:sz w:val="24"/>
          <w:szCs w:val="24"/>
          <w:lang w:val="sr-CS"/>
        </w:rPr>
        <w:t>к</w:t>
      </w:r>
      <w:r>
        <w:rPr>
          <w:rStyle w:val="FontStyle181"/>
          <w:sz w:val="24"/>
          <w:szCs w:val="24"/>
        </w:rPr>
        <w:t>V</w:t>
      </w:r>
      <w:r>
        <w:rPr>
          <w:rStyle w:val="FontStyle181"/>
          <w:sz w:val="24"/>
          <w:szCs w:val="24"/>
          <w:lang w:val="sr-RS"/>
        </w:rPr>
        <w:t>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-све ТС морају имати приступни пут за тешка возила током изградње и током целог века експлоатације (трајно возило са дизалицом димензија 8</w:t>
      </w:r>
      <w:r>
        <w:rPr>
          <w:rStyle w:val="FontStyle181"/>
          <w:sz w:val="24"/>
          <w:szCs w:val="24"/>
        </w:rPr>
        <w:t>x</w:t>
      </w:r>
      <w:r>
        <w:rPr>
          <w:rStyle w:val="FontStyle181"/>
          <w:sz w:val="24"/>
          <w:szCs w:val="24"/>
          <w:lang w:val="sr-Latn-RS"/>
        </w:rPr>
        <w:t>2,5</w:t>
      </w:r>
      <w:r>
        <w:rPr>
          <w:rStyle w:val="FontStyle181"/>
          <w:sz w:val="24"/>
          <w:szCs w:val="24"/>
          <w:lang w:val="en-US"/>
        </w:rPr>
        <w:t>m</w:t>
      </w:r>
      <w:r>
        <w:rPr>
          <w:rStyle w:val="FontStyle181"/>
          <w:sz w:val="24"/>
          <w:szCs w:val="24"/>
          <w:lang w:val="sr-RS"/>
        </w:rPr>
        <w:t>)</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-током изградње ТС потребно је да око целе ТС, а због поставњаља уземљивача, буде слободан појас ширине 2,5</w:t>
      </w:r>
      <w:r>
        <w:rPr>
          <w:rStyle w:val="FontStyle181"/>
          <w:sz w:val="24"/>
          <w:szCs w:val="24"/>
          <w:lang w:val="en-US"/>
        </w:rPr>
        <w:t>m</w:t>
      </w:r>
    </w:p>
    <w:p>
      <w:pPr>
        <w:pStyle w:val="Style62"/>
        <w:widowControl/>
        <w:tabs>
          <w:tab w:val="clear" w:pos="720"/>
          <w:tab w:val="left" w:pos="1080" w:leader="none"/>
        </w:tabs>
        <w:spacing w:lineRule="exact" w:line="283" w:before="5" w:after="0"/>
        <w:ind w:hanging="0"/>
        <w:rPr/>
      </w:pPr>
      <w:r>
        <w:rPr>
          <w:rStyle w:val="FontStyle181"/>
          <w:sz w:val="24"/>
          <w:szCs w:val="24"/>
          <w:lang w:val="sr-RS"/>
        </w:rPr>
        <w:t>-пожељно је да се по завршетку изградње ТЦ и уземљивача асвалтира око целе ТС појас ширине 1,5</w:t>
      </w:r>
      <w:r>
        <w:rPr>
          <w:rStyle w:val="FontStyle181"/>
          <w:sz w:val="24"/>
          <w:szCs w:val="24"/>
          <w:lang w:val="en-US"/>
        </w:rPr>
        <w:t>m</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 xml:space="preserve">Прикључење новоизграђених трафостаница 10/0.4 </w:t>
      </w:r>
      <w:r>
        <w:rPr>
          <w:rStyle w:val="FontStyle181"/>
          <w:sz w:val="24"/>
          <w:szCs w:val="24"/>
          <w:lang w:val="sr-CS"/>
        </w:rPr>
        <w:t>к</w:t>
      </w:r>
      <w:r>
        <w:rPr>
          <w:rStyle w:val="FontStyle181"/>
          <w:sz w:val="24"/>
          <w:szCs w:val="24"/>
        </w:rPr>
        <w:t>V</w:t>
      </w:r>
      <w:r>
        <w:rPr>
          <w:rStyle w:val="FontStyle181"/>
          <w:sz w:val="24"/>
          <w:szCs w:val="24"/>
          <w:lang w:val="sr-RS"/>
        </w:rPr>
        <w:t xml:space="preserve"> предвидети кабловима 10</w:t>
      </w:r>
      <w:r>
        <w:rPr>
          <w:rStyle w:val="FontStyle181"/>
          <w:sz w:val="24"/>
          <w:szCs w:val="24"/>
          <w:lang w:val="sr-CS"/>
        </w:rPr>
        <w:t xml:space="preserve"> к</w:t>
      </w:r>
      <w:r>
        <w:rPr>
          <w:rStyle w:val="FontStyle181"/>
          <w:sz w:val="24"/>
          <w:szCs w:val="24"/>
        </w:rPr>
        <w:t>V</w:t>
      </w:r>
      <w:r>
        <w:rPr>
          <w:rStyle w:val="FontStyle181"/>
          <w:sz w:val="24"/>
          <w:szCs w:val="24"/>
          <w:lang w:val="sr-RS"/>
        </w:rPr>
        <w:t>, положеним у енергетску кабловску канализацију.</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Посебни услови за енергетску кабловску канализацију:</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-енергетску кабловску канализацију требало би предвидети да буде од префабрикованих бетонских кабловица са мин 2</w:t>
      </w:r>
      <w:r>
        <w:rPr>
          <w:rStyle w:val="FontStyle181"/>
          <w:sz w:val="24"/>
          <w:szCs w:val="24"/>
        </w:rPr>
        <w:t>x</w:t>
      </w:r>
      <w:r>
        <w:rPr>
          <w:rStyle w:val="FontStyle181"/>
          <w:sz w:val="24"/>
          <w:szCs w:val="24"/>
          <w:lang w:val="ru-RU"/>
        </w:rPr>
        <w:t>4</w:t>
      </w:r>
      <w:r>
        <w:rPr>
          <w:rStyle w:val="FontStyle181"/>
          <w:sz w:val="24"/>
          <w:szCs w:val="24"/>
        </w:rPr>
        <w:t>x</w:t>
      </w:r>
      <w:r>
        <w:rPr>
          <w:rStyle w:val="FontStyle181"/>
          <w:sz w:val="24"/>
          <w:szCs w:val="24"/>
          <w:lang w:val="ru-RU"/>
        </w:rPr>
        <w:t>100</w:t>
      </w:r>
      <w:r>
        <w:rPr>
          <w:rStyle w:val="FontStyle181"/>
          <w:sz w:val="24"/>
          <w:szCs w:val="24"/>
          <w:lang w:val="sr-RS"/>
        </w:rPr>
        <w:t>мм отворима или од пластичних цеви са минимално осам отвора унутрашњег пречника 100мм</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-минимална дубина полагања је 0,8 од површине тла од горње површине кабловица или цеви</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-ширина зоне за енергетску кабловску канализацију износи 0,8</w:t>
      </w:r>
      <w:r>
        <w:rPr>
          <w:rStyle w:val="FontStyle181"/>
          <w:sz w:val="24"/>
          <w:szCs w:val="24"/>
          <w:lang w:val="en-US"/>
        </w:rPr>
        <w:t>m</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-кабловске шахте морају бити димензија 2,</w:t>
      </w:r>
      <w:r>
        <w:rPr>
          <w:rStyle w:val="FontStyle181"/>
          <w:sz w:val="24"/>
          <w:szCs w:val="24"/>
          <w:lang w:val="en-US"/>
        </w:rPr>
        <w:t>0m</w:t>
      </w:r>
      <w:r>
        <w:rPr>
          <w:rStyle w:val="FontStyle181"/>
          <w:sz w:val="24"/>
          <w:szCs w:val="24"/>
          <w:lang w:val="sr-RS"/>
        </w:rPr>
        <w:t xml:space="preserve"> </w:t>
      </w:r>
      <w:r>
        <w:rPr>
          <w:rStyle w:val="FontStyle181"/>
          <w:sz w:val="24"/>
          <w:szCs w:val="24"/>
        </w:rPr>
        <w:t xml:space="preserve">x </w:t>
      </w:r>
      <w:r>
        <w:rPr>
          <w:rStyle w:val="FontStyle181"/>
          <w:sz w:val="24"/>
          <w:szCs w:val="24"/>
          <w:lang w:val="ru-RU"/>
        </w:rPr>
        <w:t>2,</w:t>
      </w:r>
      <w:r>
        <w:rPr>
          <w:rStyle w:val="FontStyle181"/>
          <w:sz w:val="24"/>
          <w:szCs w:val="24"/>
          <w:lang w:val="en-US"/>
        </w:rPr>
        <w:t xml:space="preserve">0m </w:t>
      </w:r>
      <w:r>
        <w:rPr>
          <w:rStyle w:val="FontStyle181"/>
          <w:sz w:val="24"/>
          <w:szCs w:val="24"/>
        </w:rPr>
        <w:t xml:space="preserve">x </w:t>
      </w:r>
      <w:r>
        <w:rPr>
          <w:rStyle w:val="FontStyle181"/>
          <w:sz w:val="24"/>
          <w:szCs w:val="24"/>
          <w:lang w:val="ru-RU"/>
        </w:rPr>
        <w:t>2,</w:t>
      </w:r>
      <w:r>
        <w:rPr>
          <w:rStyle w:val="FontStyle181"/>
          <w:sz w:val="24"/>
          <w:szCs w:val="24"/>
          <w:lang w:val="en-US"/>
        </w:rPr>
        <w:t>0m</w:t>
      </w:r>
      <w:r>
        <w:rPr>
          <w:rStyle w:val="FontStyle181"/>
          <w:sz w:val="24"/>
          <w:szCs w:val="24"/>
          <w:lang w:val="sr-RS"/>
        </w:rPr>
        <w:t xml:space="preserve"> са ливеним поклопцем за тешки саобраћај</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-унутрашњи зидови шахти су малтерисани, а на зиду испод отвора шахте постављене металне мердевине</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-отвори шахте су квадратног облика дијагонале 0,7</w:t>
      </w:r>
      <w:r>
        <w:rPr>
          <w:rStyle w:val="FontStyle181"/>
          <w:sz w:val="24"/>
          <w:szCs w:val="24"/>
          <w:lang w:val="en-US"/>
        </w:rPr>
        <w:t>m</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Трасе за каблове 0,4</w:t>
      </w:r>
      <w:r>
        <w:rPr>
          <w:rStyle w:val="FontStyle181"/>
          <w:sz w:val="24"/>
          <w:szCs w:val="24"/>
          <w:lang w:val="sr-CS"/>
        </w:rPr>
        <w:t xml:space="preserve"> к</w:t>
      </w:r>
      <w:r>
        <w:rPr>
          <w:rStyle w:val="FontStyle181"/>
          <w:sz w:val="24"/>
          <w:szCs w:val="24"/>
        </w:rPr>
        <w:t>V</w:t>
      </w:r>
      <w:r>
        <w:rPr>
          <w:rStyle w:val="FontStyle181"/>
          <w:sz w:val="24"/>
          <w:szCs w:val="24"/>
          <w:lang w:val="sr-RS"/>
        </w:rPr>
        <w:t xml:space="preserve"> и каблове јавног осветљења биће одређиване кроз појединачна одобрења за прикључивање и кроз услове за изградњу објеката појединачних потрошача, а према динамици његових потреба.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Приликом планирања будућих објеката придржавати се свих техничких прописа за изградњу објеката.</w:t>
      </w:r>
    </w:p>
    <w:p>
      <w:pPr>
        <w:pStyle w:val="Normal"/>
        <w:ind w:firstLine="720"/>
        <w:rPr>
          <w:rFonts w:ascii="Times New Roman" w:hAnsi="Times New Roman"/>
        </w:rPr>
      </w:pPr>
      <w:r>
        <w:rPr>
          <w:rFonts w:eastAsia="TimesNewRoman"/>
          <w:szCs w:val="24"/>
          <w:lang w:val="sr-Latn-RS"/>
        </w:rPr>
        <w:t>За слободностојећи објекат трафостанице 10/0,4 kV (слободностојеће) обезбедити колски</w:t>
      </w:r>
      <w:r>
        <w:rPr>
          <w:rFonts w:eastAsia="TimesNewRoman"/>
          <w:szCs w:val="24"/>
          <w:lang w:val="sr-RS"/>
        </w:rPr>
        <w:t xml:space="preserve"> </w:t>
      </w:r>
      <w:r>
        <w:rPr>
          <w:rFonts w:eastAsia="TimesNewRoman"/>
          <w:szCs w:val="24"/>
          <w:lang w:val="sr-Latn-RS"/>
        </w:rPr>
        <w:t>приступ изградњом приступног пута најмање ширине 3 m до најближе јавне саобраћајнице.</w:t>
      </w:r>
    </w:p>
    <w:p>
      <w:pPr>
        <w:pStyle w:val="Normal"/>
        <w:rPr>
          <w:rFonts w:ascii="Times New Roman" w:hAnsi="Times New Roman"/>
        </w:rPr>
      </w:pPr>
      <w:r>
        <w:rPr>
          <w:rFonts w:eastAsia="TimesNewRoman"/>
          <w:szCs w:val="24"/>
          <w:lang w:val="sr-Latn-RS"/>
        </w:rPr>
        <w:t>Како објекти трафостаница 10/0,4 kV и водови напонског нивоа 10 (20) kV спадају</w:t>
      </w:r>
      <w:r>
        <w:rPr>
          <w:rFonts w:eastAsia="TimesNewRoman"/>
          <w:szCs w:val="24"/>
          <w:lang w:val="sr-RS"/>
        </w:rPr>
        <w:t xml:space="preserve"> </w:t>
      </w:r>
      <w:r>
        <w:rPr>
          <w:rFonts w:eastAsia="TimesNewRoman"/>
          <w:szCs w:val="24"/>
          <w:lang w:val="sr-Latn-RS"/>
        </w:rPr>
        <w:t>у објекте за које се не издаје грађевинска дозвола (члан. 145. Закона о планирању и</w:t>
      </w:r>
      <w:r>
        <w:rPr>
          <w:rFonts w:eastAsia="TimesNewRoman"/>
          <w:szCs w:val="24"/>
          <w:lang w:val="sr-RS"/>
        </w:rPr>
        <w:t xml:space="preserve"> </w:t>
      </w:r>
      <w:r>
        <w:rPr>
          <w:rFonts w:eastAsia="TimesNewRoman"/>
          <w:szCs w:val="24"/>
          <w:lang w:val="sr-Latn-RS"/>
        </w:rPr>
        <w:t>изградњи) већ се радови врше на основу решења којим се одобрава извођење радова, то је</w:t>
      </w:r>
      <w:r>
        <w:rPr>
          <w:rFonts w:eastAsia="TimesNewRoman"/>
          <w:szCs w:val="24"/>
          <w:lang w:val="sr-RS"/>
        </w:rPr>
        <w:t xml:space="preserve"> </w:t>
      </w:r>
      <w:r>
        <w:rPr>
          <w:rFonts w:eastAsia="TimesNewRoman"/>
          <w:szCs w:val="24"/>
          <w:lang w:val="sr-Latn-RS"/>
        </w:rPr>
        <w:t>могуће издавање решења за објекат трафостанице и за деонице каблова који нису дати на</w:t>
      </w:r>
      <w:r>
        <w:rPr>
          <w:rFonts w:eastAsia="TimesNewRoman"/>
          <w:szCs w:val="24"/>
          <w:lang w:val="sr-RS"/>
        </w:rPr>
        <w:t xml:space="preserve"> </w:t>
      </w:r>
      <w:r>
        <w:rPr>
          <w:rFonts w:eastAsia="TimesNewRoman"/>
          <w:szCs w:val="24"/>
          <w:lang w:val="sr-Latn-RS"/>
        </w:rPr>
        <w:t>графичком прилогу ако инвеститор обезбеди документацију предвиђену чланом 145.</w:t>
      </w:r>
      <w:r>
        <w:rPr>
          <w:rFonts w:eastAsia="TimesNewRoman"/>
          <w:szCs w:val="24"/>
          <w:lang w:val="sr-RS"/>
        </w:rPr>
        <w:t xml:space="preserve"> </w:t>
      </w:r>
      <w:r>
        <w:rPr>
          <w:rFonts w:eastAsia="TimesNewRoman"/>
          <w:szCs w:val="24"/>
          <w:lang w:val="sr-Latn-RS"/>
        </w:rPr>
        <w:t>Закона.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У делу ваздушног вода где постоје објекти високоградње и на прелазама саобраћајница морају се задовољити прописана хоризонтална и вертикална одстојања, а сам вод мора имати појачану механичку и електричну сигурност. У коридору далековода забрањено је постављање засада високе вегетације.</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Објекте градити на прописном одстојању од постојећих електро енергетских објеката. Уколико приликом изградње објекта овај услов није могуће испунити, инвеститор је дужан да ЕДСС-у поднесе захтев за измештање, као и да финансира измештање, електро енергетских објеката на прописом утврђено одстојање.</w:t>
      </w:r>
    </w:p>
    <w:p>
      <w:pPr>
        <w:pStyle w:val="Style62"/>
        <w:widowControl/>
        <w:tabs>
          <w:tab w:val="clear" w:pos="720"/>
          <w:tab w:val="left" w:pos="1080" w:leader="none"/>
        </w:tabs>
        <w:spacing w:lineRule="exact" w:line="283" w:before="5" w:after="0"/>
        <w:ind w:hanging="0"/>
        <w:rPr/>
      </w:pPr>
      <w:r>
        <w:rPr>
          <w:rStyle w:val="FontStyle181"/>
          <w:sz w:val="24"/>
          <w:szCs w:val="24"/>
          <w:lang w:val="sr-RS"/>
        </w:rPr>
        <w:t>-Изнад магистралних, регионалних, локалних или прилазних путева који се користе као путеви за јавну употребу, сигурносна висина износи 6,0</w:t>
      </w:r>
      <w:r>
        <w:rPr>
          <w:rStyle w:val="FontStyle181"/>
          <w:sz w:val="24"/>
          <w:szCs w:val="24"/>
          <w:lang w:val="en-US"/>
        </w:rPr>
        <w:t>m</w:t>
      </w:r>
      <w:r>
        <w:rPr>
          <w:rStyle w:val="FontStyle181"/>
          <w:sz w:val="24"/>
          <w:szCs w:val="24"/>
          <w:lang w:val="sr-RS"/>
        </w:rPr>
        <w:t>.</w:t>
      </w:r>
    </w:p>
    <w:p>
      <w:pPr>
        <w:pStyle w:val="Style62"/>
        <w:widowControl/>
        <w:tabs>
          <w:tab w:val="clear" w:pos="720"/>
          <w:tab w:val="left" w:pos="1080" w:leader="none"/>
        </w:tabs>
        <w:spacing w:lineRule="exact" w:line="283" w:before="5" w:after="0"/>
        <w:ind w:hanging="0"/>
        <w:rPr/>
      </w:pPr>
      <w:r>
        <w:rPr>
          <w:rStyle w:val="FontStyle181"/>
          <w:sz w:val="24"/>
          <w:szCs w:val="24"/>
          <w:lang w:val="sr-RS"/>
        </w:rPr>
        <w:t>-Код укрштања са магистралним, регионалним, локалним или прелазним путем, стубови се могу постављати уз саму ивицу путног појаса.</w:t>
      </w:r>
    </w:p>
    <w:p>
      <w:pPr>
        <w:pStyle w:val="Style62"/>
        <w:widowControl/>
        <w:tabs>
          <w:tab w:val="clear" w:pos="720"/>
          <w:tab w:val="left" w:pos="1080" w:leader="none"/>
        </w:tabs>
        <w:spacing w:lineRule="exact" w:line="283" w:before="5" w:after="0"/>
        <w:ind w:hanging="0"/>
        <w:rPr/>
      </w:pPr>
      <w:r>
        <w:rPr>
          <w:rStyle w:val="FontStyle181"/>
          <w:sz w:val="24"/>
          <w:szCs w:val="24"/>
          <w:lang w:val="sr-RS"/>
        </w:rPr>
        <w:t>-Код приближавања или паралелног вођења са путним појасом, хоризонтална сигурносна удаљеност износи 2,</w:t>
      </w:r>
      <w:r>
        <w:rPr>
          <w:rStyle w:val="FontStyle181"/>
          <w:sz w:val="24"/>
          <w:szCs w:val="24"/>
          <w:lang w:val="en-US"/>
        </w:rPr>
        <w:t>0m</w:t>
      </w:r>
      <w:r>
        <w:rPr>
          <w:rStyle w:val="FontStyle181"/>
          <w:sz w:val="24"/>
          <w:szCs w:val="24"/>
          <w:lang w:val="sr-RS"/>
        </w:rPr>
        <w:t>.</w:t>
      </w:r>
    </w:p>
    <w:p>
      <w:pPr>
        <w:pStyle w:val="Style62"/>
        <w:widowControl/>
        <w:tabs>
          <w:tab w:val="clear" w:pos="720"/>
          <w:tab w:val="left" w:pos="1080" w:leader="none"/>
        </w:tabs>
        <w:spacing w:lineRule="exact" w:line="283" w:before="5" w:after="0"/>
        <w:ind w:hanging="0"/>
        <w:rPr/>
      </w:pPr>
      <w:r>
        <w:rPr>
          <w:rStyle w:val="FontStyle181"/>
          <w:sz w:val="24"/>
          <w:szCs w:val="24"/>
          <w:lang w:val="sr-RS"/>
        </w:rPr>
        <w:t>-С обзиром да изградња саобраћајнице подразумева употребу механизације и људске радне снаге, ради заштите људи и ЕЕ објеката, пре почетка извођења радова дужни сте упозорити непосредне извршиоце на полођај подземних ЕЕ водова и да су исти под напоном.</w:t>
      </w:r>
    </w:p>
    <w:p>
      <w:pPr>
        <w:pStyle w:val="Style62"/>
        <w:widowControl/>
        <w:tabs>
          <w:tab w:val="clear" w:pos="720"/>
          <w:tab w:val="left" w:pos="1080" w:leader="none"/>
        </w:tabs>
        <w:spacing w:lineRule="exact" w:line="283" w:before="5" w:after="0"/>
        <w:ind w:hanging="0"/>
        <w:rPr/>
      </w:pPr>
      <w:r>
        <w:rPr>
          <w:rStyle w:val="FontStyle181"/>
          <w:sz w:val="24"/>
          <w:szCs w:val="24"/>
          <w:lang w:val="sr-RS"/>
        </w:rPr>
        <w:t>- У циљу обезбеђења надзора за радове на укрштању са ЕЕ водовима, дужни сте да благовременео обавестите ову електродистрибуцију о времену почетка и завршетка извођења предметних радова.</w:t>
      </w:r>
    </w:p>
    <w:p>
      <w:pPr>
        <w:pStyle w:val="Style62"/>
        <w:widowControl/>
        <w:tabs>
          <w:tab w:val="clear" w:pos="720"/>
          <w:tab w:val="left" w:pos="1080" w:leader="none"/>
        </w:tabs>
        <w:spacing w:lineRule="exact" w:line="283" w:before="5" w:after="0"/>
        <w:ind w:hanging="0"/>
        <w:rPr/>
      </w:pPr>
      <w:r>
        <w:rPr>
          <w:rStyle w:val="FontStyle181"/>
          <w:sz w:val="24"/>
          <w:szCs w:val="24"/>
          <w:lang w:val="sr-RS"/>
        </w:rPr>
        <w:t>-Трошкове трасирања, вршења надзора и за евентуално причињене штете на ЕЕ водовима сноси инвеститор, односно извођач радова.</w:t>
      </w:r>
    </w:p>
    <w:p>
      <w:pPr>
        <w:pStyle w:val="Style62"/>
        <w:widowControl/>
        <w:tabs>
          <w:tab w:val="clear" w:pos="720"/>
          <w:tab w:val="left" w:pos="1080" w:leader="none"/>
        </w:tabs>
        <w:spacing w:lineRule="exact" w:line="283" w:before="5" w:after="0"/>
        <w:ind w:hanging="0"/>
        <w:rPr/>
      </w:pPr>
      <w:r>
        <w:rPr>
          <w:rStyle w:val="FontStyle181"/>
          <w:sz w:val="24"/>
          <w:szCs w:val="24"/>
          <w:lang w:val="sr-RS"/>
        </w:rPr>
        <w:tab/>
        <w:t xml:space="preserve">Услови за прикључење планираних објеката на простору обухваћеним планом биће дефинисани појединачно за сваки објекат посебним поступком. </w:t>
      </w:r>
    </w:p>
    <w:p>
      <w:pPr>
        <w:pStyle w:val="Normal"/>
        <w:rPr>
          <w:rFonts w:ascii="Times New Roman" w:hAnsi="Times New Roman" w:eastAsia="Calibri" w:eastAsiaTheme="minorHAnsi"/>
          <w:b/>
          <w:b/>
          <w:bCs/>
          <w:strike/>
          <w:color w:val="00B0F0"/>
          <w:szCs w:val="24"/>
        </w:rPr>
      </w:pPr>
      <w:r>
        <w:rPr>
          <w:rFonts w:eastAsia="Calibri" w:eastAsiaTheme="minorHAnsi"/>
          <w:b/>
          <w:bCs/>
          <w:strike/>
          <w:color w:val="00B0F0"/>
          <w:szCs w:val="24"/>
        </w:rPr>
      </w:r>
    </w:p>
    <w:p>
      <w:pPr>
        <w:pStyle w:val="Normal"/>
        <w:rPr>
          <w:rFonts w:ascii="Times New Roman" w:hAnsi="Times New Roman"/>
        </w:rPr>
      </w:pPr>
      <w:r>
        <w:rPr>
          <w:rFonts w:eastAsia="Calibri" w:eastAsiaTheme="minorHAnsi"/>
          <w:b/>
          <w:bCs/>
          <w:szCs w:val="24"/>
        </w:rPr>
        <w:t xml:space="preserve">9.2. Телекомуникациона мрежа </w:t>
      </w:r>
    </w:p>
    <w:p>
      <w:pPr>
        <w:pStyle w:val="Normal"/>
        <w:ind w:firstLine="720"/>
        <w:rPr>
          <w:rFonts w:ascii="Times New Roman" w:hAnsi="Times New Roman"/>
        </w:rPr>
      </w:pPr>
      <w:r>
        <w:rPr>
          <w:rFonts w:eastAsia="TimesNewRoman"/>
          <w:szCs w:val="24"/>
          <w:lang w:val="sr-Latn-RS"/>
        </w:rPr>
        <w:t xml:space="preserve">Трасе каблова претплатничке телекомуникационе </w:t>
      </w:r>
      <w:r>
        <w:rPr>
          <w:rFonts w:eastAsia="Calibri" w:eastAsiaTheme="minorHAnsi"/>
          <w:szCs w:val="24"/>
          <w:lang w:val="sr-Latn-RS"/>
        </w:rPr>
        <w:t>(</w:t>
      </w:r>
      <w:r>
        <w:rPr>
          <w:rFonts w:eastAsia="TimesNewRoman"/>
          <w:szCs w:val="24"/>
          <w:lang w:val="sr-Latn-RS"/>
        </w:rPr>
        <w:t>у даљем тексту ТК</w:t>
      </w:r>
      <w:r>
        <w:rPr>
          <w:rFonts w:eastAsia="Calibri" w:eastAsiaTheme="minorHAnsi"/>
          <w:szCs w:val="24"/>
          <w:lang w:val="sr-Latn-RS"/>
        </w:rPr>
        <w:t xml:space="preserve">) </w:t>
      </w:r>
      <w:r>
        <w:rPr>
          <w:rFonts w:eastAsia="TimesNewRoman"/>
          <w:szCs w:val="24"/>
          <w:lang w:val="sr-Latn-RS"/>
        </w:rPr>
        <w:t>мреже</w:t>
      </w:r>
      <w:r>
        <w:rPr>
          <w:rFonts w:eastAsia="TimesNewRoman"/>
          <w:szCs w:val="24"/>
          <w:lang w:val="sr-RS"/>
        </w:rPr>
        <w:t xml:space="preserve"> </w:t>
      </w:r>
      <w:r>
        <w:rPr>
          <w:rFonts w:eastAsia="TimesNewRoman"/>
          <w:szCs w:val="24"/>
          <w:lang w:val="sr-Latn-RS"/>
        </w:rPr>
        <w:t xml:space="preserve">одређене су регулацијом саобраћајница и налазе се по правилу у простору тротоара на </w:t>
      </w:r>
      <w:r>
        <w:rPr>
          <w:rFonts w:eastAsia="Calibri" w:eastAsiaTheme="minorHAnsi"/>
          <w:szCs w:val="24"/>
          <w:lang w:val="sr-Latn-RS"/>
        </w:rPr>
        <w:t>1,0</w:t>
      </w:r>
      <w:r>
        <w:rPr>
          <w:rFonts w:eastAsia="Calibri" w:eastAsiaTheme="minorHAnsi"/>
          <w:szCs w:val="24"/>
          <w:lang w:val="sr-RS"/>
        </w:rPr>
        <w:t xml:space="preserve"> </w:t>
      </w:r>
      <w:r>
        <w:rPr>
          <w:rFonts w:eastAsia="Calibri" w:eastAsiaTheme="minorHAnsi"/>
          <w:szCs w:val="24"/>
          <w:lang w:val="sr-Latn-RS"/>
        </w:rPr>
        <w:t xml:space="preserve">m </w:t>
      </w:r>
      <w:r>
        <w:rPr>
          <w:rFonts w:eastAsia="TimesNewRoman"/>
          <w:szCs w:val="24"/>
          <w:lang w:val="sr-Latn-RS"/>
        </w:rPr>
        <w:t>од ивичњака или регулационе линије</w:t>
      </w:r>
      <w:r>
        <w:rPr>
          <w:rFonts w:eastAsia="Calibri" w:eastAsiaTheme="minorHAnsi"/>
          <w:szCs w:val="24"/>
          <w:lang w:val="sr-Latn-RS"/>
        </w:rPr>
        <w:t xml:space="preserve">, </w:t>
      </w:r>
      <w:r>
        <w:rPr>
          <w:rFonts w:eastAsia="TimesNewRoman"/>
          <w:szCs w:val="24"/>
          <w:lang w:val="sr-Latn-RS"/>
        </w:rPr>
        <w:t>зависно од постојећих инфраструктурних мрежа у</w:t>
      </w:r>
      <w:r>
        <w:rPr>
          <w:rFonts w:eastAsia="TimesNewRoman"/>
          <w:szCs w:val="24"/>
          <w:lang w:val="sr-RS"/>
        </w:rPr>
        <w:t xml:space="preserve"> </w:t>
      </w:r>
      <w:r>
        <w:rPr>
          <w:rFonts w:eastAsia="TimesNewRoman"/>
          <w:szCs w:val="24"/>
          <w:lang w:val="sr-Latn-RS"/>
        </w:rPr>
        <w:t>саобраћајници</w:t>
      </w:r>
      <w:r>
        <w:rPr>
          <w:rFonts w:eastAsia="Calibri" w:eastAsiaTheme="minorHAnsi"/>
          <w:szCs w:val="24"/>
          <w:lang w:val="sr-Latn-RS"/>
        </w:rPr>
        <w:t>.</w:t>
      </w:r>
    </w:p>
    <w:p>
      <w:pPr>
        <w:pStyle w:val="Normal"/>
        <w:ind w:firstLine="720"/>
        <w:rPr>
          <w:rFonts w:ascii="Times New Roman" w:hAnsi="Times New Roman"/>
        </w:rPr>
      </w:pPr>
      <w:r>
        <w:rPr>
          <w:rFonts w:eastAsia="TimesNewRoman"/>
          <w:szCs w:val="24"/>
          <w:lang w:val="sr-Latn-RS"/>
        </w:rPr>
        <w:t>На деловима где није извршена регулација саобраћајница по урбанистичкој</w:t>
      </w:r>
      <w:r>
        <w:rPr>
          <w:rFonts w:eastAsia="TimesNewRoman"/>
          <w:szCs w:val="24"/>
          <w:lang w:val="sr-RS"/>
        </w:rPr>
        <w:t xml:space="preserve"> </w:t>
      </w:r>
      <w:r>
        <w:rPr>
          <w:rFonts w:eastAsia="TimesNewRoman"/>
          <w:szCs w:val="24"/>
          <w:lang w:val="sr-Latn-RS"/>
        </w:rPr>
        <w:t>документацији</w:t>
      </w:r>
      <w:r>
        <w:rPr>
          <w:rFonts w:eastAsia="Calibri" w:eastAsiaTheme="minorHAnsi"/>
          <w:szCs w:val="24"/>
          <w:lang w:val="sr-Latn-RS"/>
        </w:rPr>
        <w:t xml:space="preserve">, </w:t>
      </w:r>
      <w:r>
        <w:rPr>
          <w:rFonts w:eastAsia="TimesNewRoman"/>
          <w:szCs w:val="24"/>
          <w:lang w:val="sr-Latn-RS"/>
        </w:rPr>
        <w:t>полагање каблова вршиће се у регулационој ширини саобраћајница и то на</w:t>
      </w:r>
      <w:r>
        <w:rPr>
          <w:rFonts w:eastAsia="TimesNewRoman"/>
          <w:szCs w:val="24"/>
          <w:lang w:val="sr-RS"/>
        </w:rPr>
        <w:t xml:space="preserve"> </w:t>
      </w:r>
      <w:r>
        <w:rPr>
          <w:rFonts w:eastAsia="TimesNewRoman"/>
          <w:szCs w:val="24"/>
          <w:lang w:val="sr-Latn-RS"/>
        </w:rPr>
        <w:t xml:space="preserve">растојању </w:t>
      </w:r>
      <w:r>
        <w:rPr>
          <w:rFonts w:eastAsia="Calibri" w:eastAsiaTheme="minorHAnsi"/>
          <w:szCs w:val="24"/>
          <w:lang w:val="sr-Latn-RS"/>
        </w:rPr>
        <w:t xml:space="preserve">0,5 m </w:t>
      </w:r>
      <w:r>
        <w:rPr>
          <w:rFonts w:eastAsia="TimesNewRoman"/>
          <w:szCs w:val="24"/>
          <w:lang w:val="sr-Latn-RS"/>
        </w:rPr>
        <w:t>од ограда дворишта</w:t>
      </w:r>
      <w:r>
        <w:rPr>
          <w:rFonts w:eastAsia="Calibri" w:eastAsiaTheme="minorHAnsi"/>
          <w:szCs w:val="24"/>
          <w:lang w:val="sr-Latn-RS"/>
        </w:rPr>
        <w:t xml:space="preserve">, </w:t>
      </w:r>
      <w:r>
        <w:rPr>
          <w:rFonts w:eastAsia="TimesNewRoman"/>
          <w:szCs w:val="24"/>
          <w:lang w:val="sr-Latn-RS"/>
        </w:rPr>
        <w:t>тј</w:t>
      </w:r>
      <w:r>
        <w:rPr>
          <w:rFonts w:eastAsia="Calibri" w:eastAsiaTheme="minorHAnsi"/>
          <w:szCs w:val="24"/>
          <w:lang w:val="sr-Latn-RS"/>
        </w:rPr>
        <w:t xml:space="preserve">. </w:t>
      </w:r>
      <w:r>
        <w:rPr>
          <w:rFonts w:eastAsia="TimesNewRoman"/>
          <w:szCs w:val="24"/>
          <w:lang w:val="sr-Latn-RS"/>
        </w:rPr>
        <w:t>од регулационе линије саобраћајнице</w:t>
      </w:r>
      <w:r>
        <w:rPr>
          <w:rFonts w:eastAsia="Calibri" w:eastAsiaTheme="minorHAnsi"/>
          <w:szCs w:val="24"/>
          <w:lang w:val="sr-Latn-RS"/>
        </w:rPr>
        <w:t xml:space="preserve">, </w:t>
      </w:r>
      <w:r>
        <w:rPr>
          <w:rFonts w:eastAsia="TimesNewRoman"/>
          <w:szCs w:val="24"/>
          <w:lang w:val="sr-Latn-RS"/>
        </w:rPr>
        <w:t>са обавезом</w:t>
      </w:r>
      <w:r>
        <w:rPr>
          <w:rFonts w:eastAsia="TimesNewRoman"/>
          <w:szCs w:val="24"/>
          <w:lang w:val="sr-RS"/>
        </w:rPr>
        <w:t xml:space="preserve"> </w:t>
      </w:r>
      <w:r>
        <w:rPr>
          <w:rFonts w:eastAsia="TimesNewRoman"/>
          <w:szCs w:val="24"/>
          <w:lang w:val="sr-Latn-RS"/>
        </w:rPr>
        <w:t>да се исти заштите или изместе о трошку инвеститора код реализације саобраћајница по</w:t>
      </w:r>
      <w:r>
        <w:rPr>
          <w:rFonts w:eastAsia="TimesNewRoman"/>
          <w:szCs w:val="24"/>
          <w:lang w:val="sr-RS"/>
        </w:rPr>
        <w:t xml:space="preserve"> </w:t>
      </w:r>
      <w:r>
        <w:rPr>
          <w:rFonts w:eastAsia="TimesNewRoman"/>
          <w:szCs w:val="24"/>
          <w:lang w:val="sr-Latn-RS"/>
        </w:rPr>
        <w:t>урбанистичкој документацији</w:t>
      </w:r>
      <w:r>
        <w:rPr>
          <w:rFonts w:eastAsia="Calibri" w:eastAsiaTheme="minorHAnsi"/>
          <w:szCs w:val="24"/>
          <w:lang w:val="sr-Latn-RS"/>
        </w:rPr>
        <w:t>.</w:t>
      </w:r>
    </w:p>
    <w:p>
      <w:pPr>
        <w:pStyle w:val="Normal"/>
        <w:ind w:firstLine="720"/>
        <w:rPr>
          <w:rFonts w:ascii="Times New Roman" w:hAnsi="Times New Roman"/>
        </w:rPr>
      </w:pPr>
      <w:r>
        <w:rPr>
          <w:rFonts w:eastAsia="TimesNewRoman"/>
          <w:szCs w:val="24"/>
          <w:lang w:val="sr-Latn-RS"/>
        </w:rPr>
        <w:t xml:space="preserve">Дубина полагања каблова претплатнике ТК мреже је </w:t>
      </w:r>
      <w:r>
        <w:rPr>
          <w:rFonts w:eastAsia="Calibri" w:eastAsiaTheme="minorHAnsi"/>
          <w:szCs w:val="24"/>
          <w:lang w:val="sr-Latn-RS"/>
        </w:rPr>
        <w:t xml:space="preserve">0,8 - 1,0 m </w:t>
      </w:r>
      <w:r>
        <w:rPr>
          <w:rFonts w:eastAsia="TimesNewRoman"/>
          <w:szCs w:val="24"/>
          <w:lang w:val="sr-Latn-RS"/>
        </w:rPr>
        <w:t>од коте терена</w:t>
      </w:r>
      <w:r>
        <w:rPr>
          <w:rFonts w:eastAsia="Calibri" w:eastAsiaTheme="minorHAnsi"/>
          <w:szCs w:val="24"/>
          <w:lang w:val="sr-Latn-RS"/>
        </w:rPr>
        <w:t>.</w:t>
      </w:r>
      <w:r>
        <w:rPr>
          <w:rFonts w:eastAsia="Calibri" w:eastAsiaTheme="minorHAnsi"/>
          <w:szCs w:val="24"/>
          <w:lang w:val="sr-RS"/>
        </w:rPr>
        <w:t xml:space="preserve"> </w:t>
      </w:r>
      <w:r>
        <w:rPr>
          <w:rFonts w:eastAsia="TimesNewRoman"/>
          <w:szCs w:val="24"/>
          <w:lang w:val="sr-Latn-RS"/>
        </w:rPr>
        <w:t xml:space="preserve">Кабловску ТК канализацију са минимално </w:t>
      </w:r>
      <w:r>
        <w:rPr>
          <w:rFonts w:eastAsia="Calibri" w:eastAsiaTheme="minorHAnsi"/>
          <w:szCs w:val="24"/>
          <w:lang w:val="sr-Latn-RS"/>
        </w:rPr>
        <w:t>4 (</w:t>
      </w:r>
      <w:r>
        <w:rPr>
          <w:rFonts w:eastAsia="TimesNewRoman"/>
          <w:szCs w:val="24"/>
          <w:lang w:val="sr-Latn-RS"/>
        </w:rPr>
        <w:t>четри</w:t>
      </w:r>
      <w:r>
        <w:rPr>
          <w:rFonts w:eastAsia="Calibri" w:eastAsiaTheme="minorHAnsi"/>
          <w:szCs w:val="24"/>
          <w:lang w:val="sr-Latn-RS"/>
        </w:rPr>
        <w:t xml:space="preserve">) </w:t>
      </w:r>
      <w:r>
        <w:rPr>
          <w:rFonts w:eastAsia="TimesNewRoman"/>
          <w:szCs w:val="24"/>
          <w:lang w:val="sr-Latn-RS"/>
        </w:rPr>
        <w:t>отвора градити под следећим</w:t>
      </w:r>
      <w:r>
        <w:rPr>
          <w:rFonts w:eastAsia="TimesNewRoman"/>
          <w:szCs w:val="24"/>
          <w:lang w:val="sr-RS"/>
        </w:rPr>
        <w:t xml:space="preserve"> </w:t>
      </w:r>
      <w:r>
        <w:rPr>
          <w:rFonts w:eastAsia="TimesNewRoman"/>
          <w:szCs w:val="24"/>
          <w:lang w:val="sr-Latn-RS"/>
        </w:rPr>
        <w:t>условима</w:t>
      </w:r>
      <w:r>
        <w:rPr>
          <w:rFonts w:eastAsia="Calibri" w:eastAsiaTheme="minorHAnsi"/>
          <w:szCs w:val="24"/>
          <w:lang w:val="sr-Latn-RS"/>
        </w:rPr>
        <w:t>:</w:t>
      </w:r>
    </w:p>
    <w:p>
      <w:pPr>
        <w:pStyle w:val="Normal"/>
        <w:ind w:firstLine="720"/>
        <w:rPr>
          <w:rFonts w:ascii="Times New Roman" w:hAnsi="Times New Roman"/>
        </w:rPr>
      </w:pPr>
      <w:r>
        <w:rPr>
          <w:rFonts w:eastAsia="Calibri" w:eastAsiaTheme="minorHAnsi"/>
          <w:szCs w:val="24"/>
          <w:lang w:val="sr-Latn-RS"/>
        </w:rPr>
        <w:t xml:space="preserve">- </w:t>
      </w:r>
      <w:r>
        <w:rPr>
          <w:rFonts w:eastAsia="TimesNewRoman"/>
          <w:szCs w:val="24"/>
          <w:lang w:val="sr-Latn-RS"/>
        </w:rPr>
        <w:t>дубину рова одредити према профилу канализације</w:t>
      </w:r>
      <w:r>
        <w:rPr>
          <w:rFonts w:eastAsia="Calibri" w:eastAsiaTheme="minorHAnsi"/>
          <w:szCs w:val="24"/>
          <w:lang w:val="sr-Latn-RS"/>
        </w:rPr>
        <w:t xml:space="preserve">, </w:t>
      </w:r>
      <w:r>
        <w:rPr>
          <w:rFonts w:eastAsia="TimesNewRoman"/>
          <w:szCs w:val="24"/>
          <w:lang w:val="sr-Latn-RS"/>
        </w:rPr>
        <w:t>с тим да заштитни слој земље у</w:t>
      </w:r>
      <w:r>
        <w:rPr>
          <w:rFonts w:eastAsia="TimesNewRoman"/>
          <w:szCs w:val="24"/>
          <w:lang w:val="sr-RS"/>
        </w:rPr>
        <w:t xml:space="preserve"> </w:t>
      </w:r>
      <w:r>
        <w:rPr>
          <w:rFonts w:eastAsia="TimesNewRoman"/>
          <w:szCs w:val="24"/>
          <w:lang w:val="sr-Latn-RS"/>
        </w:rPr>
        <w:t xml:space="preserve">тротоару над блоковима буде најмање </w:t>
      </w:r>
      <w:r>
        <w:rPr>
          <w:rFonts w:eastAsia="Calibri" w:eastAsiaTheme="minorHAnsi"/>
          <w:szCs w:val="24"/>
          <w:lang w:val="sr-Latn-RS"/>
        </w:rPr>
        <w:t xml:space="preserve">0,6 m, </w:t>
      </w:r>
      <w:r>
        <w:rPr>
          <w:rFonts w:eastAsia="TimesNewRoman"/>
          <w:szCs w:val="24"/>
          <w:lang w:val="sr-Latn-RS"/>
        </w:rPr>
        <w:t>док заштитни слој земље над</w:t>
      </w:r>
      <w:r>
        <w:rPr>
          <w:rFonts w:eastAsia="TimesNewRoman"/>
          <w:szCs w:val="24"/>
          <w:lang w:val="sr-RS"/>
        </w:rPr>
        <w:t xml:space="preserve"> </w:t>
      </w:r>
      <w:r>
        <w:rPr>
          <w:rFonts w:eastAsia="TimesNewRoman"/>
          <w:szCs w:val="24"/>
          <w:lang w:val="sr-Latn-RS"/>
        </w:rPr>
        <w:t xml:space="preserve">блоковима у коловозу буде најмање </w:t>
      </w:r>
      <w:r>
        <w:rPr>
          <w:rFonts w:eastAsia="Calibri" w:eastAsiaTheme="minorHAnsi"/>
          <w:szCs w:val="24"/>
          <w:lang w:val="sr-Latn-RS"/>
        </w:rPr>
        <w:t>0,8 m,</w:t>
      </w:r>
    </w:p>
    <w:p>
      <w:pPr>
        <w:pStyle w:val="Normal"/>
        <w:ind w:firstLine="720"/>
        <w:rPr>
          <w:rFonts w:ascii="Times New Roman" w:hAnsi="Times New Roman"/>
        </w:rPr>
      </w:pPr>
      <w:r>
        <w:rPr>
          <w:rFonts w:eastAsia="Calibri" w:eastAsiaTheme="minorHAnsi"/>
          <w:szCs w:val="24"/>
          <w:lang w:val="sr-Latn-RS"/>
        </w:rPr>
        <w:t xml:space="preserve">- </w:t>
      </w:r>
      <w:r>
        <w:rPr>
          <w:rFonts w:eastAsia="TimesNewRoman"/>
          <w:szCs w:val="24"/>
          <w:lang w:val="sr-Latn-RS"/>
        </w:rPr>
        <w:t xml:space="preserve">за израду кабловске ТК канализације употребити ПВ цеви спољњег пречника </w:t>
      </w:r>
      <w:r>
        <w:rPr>
          <w:rFonts w:eastAsia="Calibri" w:eastAsiaTheme="minorHAnsi"/>
          <w:szCs w:val="24"/>
          <w:lang w:val="sr-Latn-RS"/>
        </w:rPr>
        <w:t>110</w:t>
      </w:r>
      <w:r>
        <w:rPr>
          <w:rFonts w:eastAsia="Calibri" w:eastAsiaTheme="minorHAnsi"/>
          <w:szCs w:val="24"/>
          <w:lang w:val="sr-RS"/>
        </w:rPr>
        <w:t xml:space="preserve"> </w:t>
      </w:r>
      <w:r>
        <w:rPr>
          <w:rFonts w:eastAsia="Calibri" w:eastAsiaTheme="minorHAnsi"/>
          <w:szCs w:val="24"/>
          <w:lang w:val="sr-Latn-RS"/>
        </w:rPr>
        <w:t xml:space="preserve">mm, </w:t>
      </w:r>
      <w:r>
        <w:rPr>
          <w:rFonts w:eastAsia="TimesNewRoman"/>
          <w:szCs w:val="24"/>
          <w:lang w:val="sr-Latn-RS"/>
        </w:rPr>
        <w:t xml:space="preserve">преко песка до </w:t>
      </w:r>
      <w:r>
        <w:rPr>
          <w:rFonts w:eastAsia="Calibri" w:eastAsiaTheme="minorHAnsi"/>
          <w:szCs w:val="24"/>
          <w:lang w:val="sr-Latn-RS"/>
        </w:rPr>
        <w:t xml:space="preserve">0,1 m. </w:t>
      </w:r>
      <w:r>
        <w:rPr>
          <w:rFonts w:eastAsia="TimesNewRoman"/>
          <w:szCs w:val="24"/>
          <w:lang w:val="sr-Latn-RS"/>
        </w:rPr>
        <w:t>ПВ цеви постављати на ПВ држачима</w:t>
      </w:r>
      <w:r>
        <w:rPr>
          <w:rFonts w:eastAsia="Calibri" w:eastAsiaTheme="minorHAnsi"/>
          <w:szCs w:val="24"/>
          <w:lang w:val="sr-Latn-RS"/>
        </w:rPr>
        <w:t>,</w:t>
      </w:r>
    </w:p>
    <w:p>
      <w:pPr>
        <w:pStyle w:val="Normal"/>
        <w:ind w:firstLine="720"/>
        <w:rPr>
          <w:rFonts w:ascii="Times New Roman" w:hAnsi="Times New Roman"/>
        </w:rPr>
      </w:pPr>
      <w:r>
        <w:rPr>
          <w:rFonts w:eastAsia="Calibri" w:eastAsiaTheme="minorHAnsi"/>
          <w:szCs w:val="24"/>
          <w:lang w:val="sr-Latn-RS"/>
        </w:rPr>
        <w:t xml:space="preserve">- </w:t>
      </w:r>
      <w:r>
        <w:rPr>
          <w:rFonts w:eastAsia="TimesNewRoman"/>
          <w:szCs w:val="24"/>
          <w:lang w:val="sr-Latn-RS"/>
        </w:rPr>
        <w:t>нивелета горње бетонске плоче и поклопца кабловског окна биће једнака нивелети</w:t>
      </w:r>
      <w:r>
        <w:rPr>
          <w:rFonts w:eastAsia="TimesNewRoman"/>
          <w:szCs w:val="24"/>
          <w:lang w:val="sr-RS"/>
        </w:rPr>
        <w:t xml:space="preserve"> </w:t>
      </w:r>
      <w:r>
        <w:rPr>
          <w:rFonts w:eastAsia="TimesNewRoman"/>
          <w:szCs w:val="24"/>
          <w:lang w:val="sr-Latn-RS"/>
        </w:rPr>
        <w:t>површине на којој је изграђен тротоар односно коловоз</w:t>
      </w:r>
      <w:r>
        <w:rPr>
          <w:rFonts w:eastAsia="Calibri" w:eastAsiaTheme="minorHAnsi"/>
          <w:szCs w:val="24"/>
          <w:lang w:val="sr-Latn-RS"/>
        </w:rPr>
        <w:t>,</w:t>
      </w:r>
    </w:p>
    <w:p>
      <w:pPr>
        <w:pStyle w:val="Normal"/>
        <w:ind w:firstLine="720"/>
        <w:rPr>
          <w:rFonts w:ascii="Times New Roman" w:hAnsi="Times New Roman"/>
        </w:rPr>
      </w:pPr>
      <w:r>
        <w:rPr>
          <w:rFonts w:eastAsia="Calibri" w:eastAsiaTheme="minorHAnsi"/>
          <w:szCs w:val="24"/>
          <w:lang w:val="sr-Latn-RS"/>
        </w:rPr>
        <w:t xml:space="preserve">- </w:t>
      </w:r>
      <w:r>
        <w:rPr>
          <w:rFonts w:eastAsia="TimesNewRoman"/>
          <w:szCs w:val="24"/>
          <w:lang w:val="sr-Latn-RS"/>
        </w:rPr>
        <w:t xml:space="preserve">кабловска окна изградити од опека унутрашњих димензија </w:t>
      </w:r>
      <w:r>
        <w:rPr>
          <w:rFonts w:eastAsia="Calibri" w:eastAsiaTheme="minorHAnsi"/>
          <w:szCs w:val="24"/>
          <w:lang w:val="sr-Latn-RS"/>
        </w:rPr>
        <w:t xml:space="preserve">2,0 </w:t>
      </w:r>
      <w:r>
        <w:rPr>
          <w:rFonts w:eastAsia="TimesNewRoman"/>
          <w:szCs w:val="24"/>
          <w:lang w:val="sr-Latn-RS"/>
        </w:rPr>
        <w:t xml:space="preserve">х </w:t>
      </w:r>
      <w:r>
        <w:rPr>
          <w:rFonts w:eastAsia="Calibri" w:eastAsiaTheme="minorHAnsi"/>
          <w:szCs w:val="24"/>
          <w:lang w:val="sr-Latn-RS"/>
        </w:rPr>
        <w:t xml:space="preserve">1,5 </w:t>
      </w:r>
      <w:r>
        <w:rPr>
          <w:rFonts w:eastAsia="TimesNewRoman"/>
          <w:szCs w:val="24"/>
          <w:lang w:val="sr-Latn-RS"/>
        </w:rPr>
        <w:t xml:space="preserve">х </w:t>
      </w:r>
      <w:r>
        <w:rPr>
          <w:rFonts w:eastAsia="Calibri" w:eastAsiaTheme="minorHAnsi"/>
          <w:szCs w:val="24"/>
          <w:lang w:val="sr-Latn-RS"/>
        </w:rPr>
        <w:t>1,8 m.</w:t>
      </w:r>
    </w:p>
    <w:p>
      <w:pPr>
        <w:pStyle w:val="Normal"/>
        <w:ind w:firstLine="720"/>
        <w:rPr>
          <w:rFonts w:ascii="Times New Roman" w:hAnsi="Times New Roman"/>
        </w:rPr>
      </w:pPr>
      <w:r>
        <w:rPr>
          <w:rFonts w:eastAsia="TimesNewRoman"/>
          <w:szCs w:val="24"/>
          <w:lang w:val="sr-Latn-RS"/>
        </w:rPr>
        <w:t>Оптички кабл се</w:t>
      </w:r>
      <w:r>
        <w:rPr>
          <w:rFonts w:eastAsia="TimesNewRoman"/>
          <w:szCs w:val="24"/>
          <w:lang w:val="sr-RS"/>
        </w:rPr>
        <w:t xml:space="preserve"> </w:t>
      </w:r>
      <w:r>
        <w:rPr>
          <w:rFonts w:eastAsia="TimesNewRoman"/>
          <w:szCs w:val="24"/>
          <w:lang w:val="sr-Latn-RS"/>
        </w:rPr>
        <w:t>може полагати у исти ров са претплатничким кабловима</w:t>
      </w:r>
      <w:r>
        <w:rPr>
          <w:rFonts w:eastAsia="Calibri" w:eastAsiaTheme="minorHAnsi"/>
          <w:szCs w:val="24"/>
          <w:lang w:val="sr-Latn-RS"/>
        </w:rPr>
        <w:t>.</w:t>
      </w:r>
    </w:p>
    <w:p>
      <w:pPr>
        <w:pStyle w:val="Normal"/>
        <w:ind w:firstLine="720"/>
        <w:rPr>
          <w:rFonts w:ascii="Times New Roman" w:hAnsi="Times New Roman"/>
        </w:rPr>
      </w:pPr>
      <w:r>
        <w:rPr>
          <w:rFonts w:eastAsia="TimesNewRoman"/>
          <w:szCs w:val="24"/>
          <w:lang w:val="sr-Latn-RS"/>
        </w:rPr>
        <w:t xml:space="preserve">Димензије рова за полагање оптичког кабла износе </w:t>
      </w:r>
      <w:r>
        <w:rPr>
          <w:rFonts w:eastAsia="Calibri" w:eastAsiaTheme="minorHAnsi"/>
          <w:szCs w:val="24"/>
          <w:lang w:val="sr-Latn-RS"/>
        </w:rPr>
        <w:t xml:space="preserve">0,4 </w:t>
      </w:r>
      <w:r>
        <w:rPr>
          <w:rFonts w:eastAsia="TimesNewRoman"/>
          <w:szCs w:val="24"/>
          <w:lang w:val="sr-Latn-RS"/>
        </w:rPr>
        <w:t xml:space="preserve">х </w:t>
      </w:r>
      <w:r>
        <w:rPr>
          <w:rFonts w:eastAsia="Calibri" w:eastAsiaTheme="minorHAnsi"/>
          <w:szCs w:val="24"/>
          <w:lang w:val="sr-Latn-RS"/>
        </w:rPr>
        <w:t>0,8 m.</w:t>
      </w:r>
    </w:p>
    <w:p>
      <w:pPr>
        <w:pStyle w:val="Normal"/>
        <w:ind w:firstLine="720"/>
        <w:rPr>
          <w:rFonts w:ascii="Times New Roman" w:hAnsi="Times New Roman"/>
        </w:rPr>
      </w:pPr>
      <w:r>
        <w:rPr>
          <w:rFonts w:eastAsia="TimesNewRoman"/>
          <w:szCs w:val="24"/>
          <w:lang w:val="sr-Latn-RS"/>
        </w:rPr>
        <w:t>Капацитет претплатничке телефонске мреже</w:t>
      </w:r>
      <w:r>
        <w:rPr>
          <w:rFonts w:eastAsia="Calibri" w:eastAsiaTheme="minorHAnsi"/>
          <w:szCs w:val="24"/>
          <w:lang w:val="sr-Latn-RS"/>
        </w:rPr>
        <w:t xml:space="preserve">, </w:t>
      </w:r>
      <w:r>
        <w:rPr>
          <w:rFonts w:eastAsia="TimesNewRoman"/>
          <w:szCs w:val="24"/>
          <w:lang w:val="sr-Latn-RS"/>
        </w:rPr>
        <w:t>тј</w:t>
      </w:r>
      <w:r>
        <w:rPr>
          <w:rFonts w:eastAsia="Calibri" w:eastAsiaTheme="minorHAnsi"/>
          <w:szCs w:val="24"/>
          <w:lang w:val="sr-Latn-RS"/>
        </w:rPr>
        <w:t xml:space="preserve">. </w:t>
      </w:r>
      <w:r>
        <w:rPr>
          <w:rFonts w:eastAsia="TimesNewRoman"/>
          <w:szCs w:val="24"/>
          <w:lang w:val="sr-Latn-RS"/>
        </w:rPr>
        <w:t>претплатничких каблова срачунати</w:t>
      </w:r>
      <w:r>
        <w:rPr>
          <w:rFonts w:eastAsia="TimesNewRoman"/>
          <w:szCs w:val="24"/>
          <w:lang w:val="sr-RS"/>
        </w:rPr>
        <w:t xml:space="preserve"> </w:t>
      </w:r>
      <w:r>
        <w:rPr>
          <w:rFonts w:eastAsia="TimesNewRoman"/>
          <w:szCs w:val="24"/>
          <w:lang w:val="sr-Latn-RS"/>
        </w:rPr>
        <w:t>тако да задовољи постојеће и планиране потребе насеља</w:t>
      </w:r>
      <w:r>
        <w:rPr>
          <w:rFonts w:eastAsia="Calibri" w:eastAsiaTheme="minorHAnsi"/>
          <w:szCs w:val="24"/>
          <w:lang w:val="sr-Latn-RS"/>
        </w:rPr>
        <w:t xml:space="preserve">. </w:t>
      </w:r>
      <w:r>
        <w:rPr>
          <w:rFonts w:eastAsia="TimesNewRoman"/>
          <w:szCs w:val="24"/>
          <w:lang w:val="sr-Latn-RS"/>
        </w:rPr>
        <w:t>За задовољавање наведених</w:t>
      </w:r>
      <w:r>
        <w:rPr>
          <w:rFonts w:eastAsia="TimesNewRoman"/>
          <w:szCs w:val="24"/>
          <w:lang w:val="sr-RS"/>
        </w:rPr>
        <w:t xml:space="preserve"> </w:t>
      </w:r>
      <w:r>
        <w:rPr>
          <w:rFonts w:eastAsia="TimesNewRoman"/>
          <w:szCs w:val="24"/>
          <w:lang w:val="sr-Latn-RS"/>
        </w:rPr>
        <w:t xml:space="preserve">потреба инсталираће се део капацитета претплатничке мреже као </w:t>
      </w:r>
      <w:r>
        <w:rPr>
          <w:rFonts w:eastAsia="Calibri" w:eastAsiaTheme="minorHAnsi"/>
          <w:szCs w:val="24"/>
          <w:lang w:val="sr-Latn-RS"/>
        </w:rPr>
        <w:t>"</w:t>
      </w:r>
      <w:r>
        <w:rPr>
          <w:rFonts w:eastAsia="TimesNewRoman"/>
          <w:szCs w:val="24"/>
          <w:lang w:val="sr-Latn-RS"/>
        </w:rPr>
        <w:t>живе</w:t>
      </w:r>
      <w:r>
        <w:rPr>
          <w:rFonts w:eastAsia="Calibri" w:eastAsiaTheme="minorHAnsi"/>
          <w:szCs w:val="24"/>
          <w:lang w:val="sr-Latn-RS"/>
        </w:rPr>
        <w:t xml:space="preserve">" </w:t>
      </w:r>
      <w:r>
        <w:rPr>
          <w:rFonts w:eastAsia="TimesNewRoman"/>
          <w:szCs w:val="24"/>
          <w:lang w:val="sr-Latn-RS"/>
        </w:rPr>
        <w:t>парице у</w:t>
      </w:r>
      <w:r>
        <w:rPr>
          <w:rFonts w:eastAsia="TimesNewRoman"/>
          <w:szCs w:val="24"/>
          <w:lang w:val="sr-RS"/>
        </w:rPr>
        <w:t xml:space="preserve"> </w:t>
      </w:r>
      <w:r>
        <w:rPr>
          <w:rFonts w:eastAsia="TimesNewRoman"/>
          <w:szCs w:val="24"/>
          <w:lang w:val="sr-Latn-RS"/>
        </w:rPr>
        <w:t>постојећем делу насеља</w:t>
      </w:r>
      <w:r>
        <w:rPr>
          <w:rFonts w:eastAsia="Calibri" w:eastAsiaTheme="minorHAnsi"/>
          <w:szCs w:val="24"/>
          <w:lang w:val="sr-Latn-RS"/>
        </w:rPr>
        <w:t xml:space="preserve">, </w:t>
      </w:r>
      <w:r>
        <w:rPr>
          <w:rFonts w:eastAsia="TimesNewRoman"/>
          <w:szCs w:val="24"/>
          <w:lang w:val="sr-Latn-RS"/>
        </w:rPr>
        <w:t>а у резерви ће остати одређен број парица ради задовољења</w:t>
      </w:r>
      <w:r>
        <w:rPr>
          <w:rFonts w:eastAsia="TimesNewRoman"/>
          <w:szCs w:val="24"/>
          <w:lang w:val="sr-RS"/>
        </w:rPr>
        <w:t xml:space="preserve"> </w:t>
      </w:r>
      <w:r>
        <w:rPr>
          <w:rFonts w:eastAsia="TimesNewRoman"/>
          <w:szCs w:val="24"/>
          <w:lang w:val="sr-Latn-RS"/>
        </w:rPr>
        <w:t>будућих потреба</w:t>
      </w:r>
      <w:r>
        <w:rPr>
          <w:rFonts w:eastAsia="Calibri" w:eastAsiaTheme="minorHAnsi"/>
          <w:szCs w:val="24"/>
          <w:lang w:val="sr-Latn-RS"/>
        </w:rPr>
        <w:t>.</w:t>
      </w:r>
    </w:p>
    <w:p>
      <w:pPr>
        <w:pStyle w:val="Normal"/>
        <w:ind w:firstLine="720"/>
        <w:rPr>
          <w:rFonts w:ascii="Times New Roman" w:hAnsi="Times New Roman"/>
        </w:rPr>
      </w:pPr>
      <w:r>
        <w:rPr>
          <w:rFonts w:eastAsia="TimesNewRoman"/>
          <w:szCs w:val="24"/>
          <w:lang w:val="sr-Latn-RS"/>
        </w:rPr>
        <w:t>Ширина рова за полагање каблова је димензија 0,4 х 0,8 m.</w:t>
      </w:r>
    </w:p>
    <w:p>
      <w:pPr>
        <w:pStyle w:val="Normal"/>
        <w:ind w:firstLine="720"/>
        <w:rPr>
          <w:rFonts w:ascii="Times New Roman" w:hAnsi="Times New Roman"/>
        </w:rPr>
      </w:pPr>
      <w:r>
        <w:rPr>
          <w:rFonts w:eastAsia="TimesNewRoman"/>
          <w:szCs w:val="24"/>
          <w:lang w:val="sr-Latn-RS"/>
        </w:rPr>
        <w:t>Ров за полагање каблова је димензија 0,4 х 0,8 m.</w:t>
      </w:r>
    </w:p>
    <w:p>
      <w:pPr>
        <w:pStyle w:val="Normal"/>
        <w:ind w:firstLine="720"/>
        <w:rPr>
          <w:rFonts w:ascii="Times New Roman" w:hAnsi="Times New Roman"/>
        </w:rPr>
      </w:pPr>
      <w:r>
        <w:rPr>
          <w:rFonts w:eastAsia="TimesNewRoman"/>
          <w:szCs w:val="24"/>
          <w:lang w:val="sr-Latn-RS"/>
        </w:rPr>
        <w:t>На местима преласка каблова преко саобраћајница, поставити полиетиленске цеви</w:t>
      </w:r>
      <w:r>
        <w:rPr>
          <w:rFonts w:eastAsia="TimesNewRoman"/>
          <w:szCs w:val="24"/>
          <w:lang w:val="sr-RS"/>
        </w:rPr>
        <w:t xml:space="preserve"> </w:t>
      </w:r>
      <w:r>
        <w:rPr>
          <w:rFonts w:eastAsia="TimesNewRoman"/>
          <w:szCs w:val="24"/>
          <w:lang w:val="sr-Latn-RS"/>
        </w:rPr>
        <w:t>пречника 110 mm, а дужине једнаке ширини коловоза плус 0,6 m, кроз које ће се положити</w:t>
      </w:r>
      <w:r>
        <w:rPr>
          <w:rFonts w:eastAsia="TimesNewRoman"/>
          <w:szCs w:val="24"/>
          <w:lang w:val="sr-RS"/>
        </w:rPr>
        <w:t xml:space="preserve"> </w:t>
      </w:r>
      <w:r>
        <w:rPr>
          <w:rFonts w:eastAsia="TimesNewRoman"/>
          <w:szCs w:val="24"/>
          <w:lang w:val="sr-Latn-RS"/>
        </w:rPr>
        <w:t>кабл. Дубина полагања полиетиленских цеви износи 1,20 метара од коте терена.</w:t>
      </w:r>
    </w:p>
    <w:p>
      <w:pPr>
        <w:pStyle w:val="Normal"/>
        <w:ind w:firstLine="720"/>
        <w:rPr>
          <w:rFonts w:ascii="Times New Roman" w:hAnsi="Times New Roman"/>
        </w:rPr>
      </w:pPr>
      <w:r>
        <w:rPr>
          <w:rFonts w:eastAsia="TimesNewRoman"/>
          <w:szCs w:val="24"/>
          <w:lang w:val="sr-Latn-RS"/>
        </w:rPr>
        <w:t>Изводе градити самостојећим изводно-разводним орманима и унутрашњим</w:t>
      </w:r>
      <w:r>
        <w:rPr>
          <w:rFonts w:eastAsia="TimesNewRoman"/>
          <w:szCs w:val="24"/>
          <w:lang w:val="sr-RS"/>
        </w:rPr>
        <w:t xml:space="preserve"> </w:t>
      </w:r>
      <w:r>
        <w:rPr>
          <w:rFonts w:eastAsia="TimesNewRoman"/>
          <w:szCs w:val="24"/>
          <w:lang w:val="sr-Latn-RS"/>
        </w:rPr>
        <w:t>изводима у објектима.</w:t>
      </w:r>
    </w:p>
    <w:p>
      <w:pPr>
        <w:pStyle w:val="Normal"/>
        <w:ind w:firstLine="720"/>
        <w:rPr>
          <w:rFonts w:ascii="Times New Roman" w:hAnsi="Times New Roman"/>
        </w:rPr>
      </w:pPr>
      <w:r>
        <w:rPr>
          <w:rFonts w:eastAsia="TimesNewRoman"/>
          <w:szCs w:val="24"/>
          <w:lang w:val="sr-Latn-RS"/>
        </w:rPr>
        <w:t>Самостојећи ормани су на бетонском постољу габарита на већег од 50 х 40 cm и</w:t>
      </w:r>
      <w:r>
        <w:rPr>
          <w:rFonts w:eastAsia="TimesNewRoman"/>
          <w:szCs w:val="24"/>
          <w:lang w:val="sr-RS"/>
        </w:rPr>
        <w:t xml:space="preserve"> </w:t>
      </w:r>
      <w:r>
        <w:rPr>
          <w:rFonts w:eastAsia="TimesNewRoman"/>
          <w:szCs w:val="24"/>
          <w:lang w:val="sr-Latn-RS"/>
        </w:rPr>
        <w:t>дубине до 0,6 m постављени на граници тротоара и стамбених парцела (на граници</w:t>
      </w:r>
      <w:r>
        <w:rPr>
          <w:rFonts w:eastAsia="TimesNewRoman"/>
          <w:szCs w:val="24"/>
          <w:lang w:val="sr-RS"/>
        </w:rPr>
        <w:t xml:space="preserve"> </w:t>
      </w:r>
      <w:r>
        <w:rPr>
          <w:rFonts w:eastAsia="TimesNewRoman"/>
          <w:szCs w:val="24"/>
          <w:lang w:val="sr-Latn-RS"/>
        </w:rPr>
        <w:t>регулационе линије), тако да се не омета прилаз објектима.</w:t>
      </w:r>
    </w:p>
    <w:p>
      <w:pPr>
        <w:pStyle w:val="Normal"/>
        <w:ind w:firstLine="720"/>
        <w:rPr>
          <w:rFonts w:ascii="Times New Roman" w:hAnsi="Times New Roman"/>
        </w:rPr>
      </w:pPr>
      <w:r>
        <w:rPr>
          <w:rFonts w:eastAsia="TimesNewRoman"/>
          <w:szCs w:val="24"/>
          <w:lang w:val="sr-Latn-RS"/>
        </w:rPr>
        <w:t>Код пројектовања и изградње приступне (претплатничке) телефонске мреже</w:t>
      </w:r>
      <w:r>
        <w:rPr>
          <w:rFonts w:eastAsia="TimesNewRoman"/>
          <w:szCs w:val="24"/>
          <w:lang w:val="sr-RS"/>
        </w:rPr>
        <w:t xml:space="preserve"> </w:t>
      </w:r>
      <w:r>
        <w:rPr>
          <w:rFonts w:eastAsia="TimesNewRoman"/>
          <w:szCs w:val="24"/>
          <w:lang w:val="sr-Latn-RS"/>
        </w:rPr>
        <w:t>морају се поштовати следећи услови:</w:t>
      </w:r>
    </w:p>
    <w:p>
      <w:pPr>
        <w:pStyle w:val="Normal"/>
        <w:ind w:firstLine="720"/>
        <w:rPr>
          <w:rFonts w:ascii="Times New Roman" w:hAnsi="Times New Roman"/>
        </w:rPr>
      </w:pPr>
      <w:r>
        <w:rPr>
          <w:rFonts w:eastAsia="TimesNewRoman"/>
          <w:szCs w:val="24"/>
          <w:lang w:val="sr-Latn-RS"/>
        </w:rPr>
        <w:t>- при паралелном вођењу телефонских и енергетских каблова минимално растојање</w:t>
      </w:r>
      <w:r>
        <w:rPr>
          <w:rFonts w:eastAsia="TimesNewRoman"/>
          <w:szCs w:val="24"/>
          <w:lang w:val="sr-RS"/>
        </w:rPr>
        <w:t xml:space="preserve"> </w:t>
      </w:r>
      <w:r>
        <w:rPr>
          <w:rFonts w:eastAsia="TimesNewRoman"/>
          <w:szCs w:val="24"/>
          <w:lang w:val="sr-Latn-RS"/>
        </w:rPr>
        <w:t>је 0,3 m за водове 1 kV, односно 0,5 m за водове 10 и 35 kV. Код укрштања,</w:t>
      </w:r>
      <w:r>
        <w:rPr>
          <w:rFonts w:eastAsia="TimesNewRoman"/>
          <w:szCs w:val="24"/>
          <w:lang w:val="sr-RS"/>
        </w:rPr>
        <w:t xml:space="preserve"> </w:t>
      </w:r>
      <w:r>
        <w:rPr>
          <w:rFonts w:eastAsia="TimesNewRoman"/>
          <w:szCs w:val="24"/>
          <w:lang w:val="sr-Latn-RS"/>
        </w:rPr>
        <w:t>електроенергетски кабл се полаже испод телефонског кабла са минималним</w:t>
      </w:r>
      <w:r>
        <w:rPr>
          <w:rFonts w:eastAsia="TimesNewRoman"/>
          <w:szCs w:val="24"/>
          <w:lang w:val="sr-RS"/>
        </w:rPr>
        <w:t xml:space="preserve"> </w:t>
      </w:r>
      <w:r>
        <w:rPr>
          <w:rFonts w:eastAsia="TimesNewRoman"/>
          <w:szCs w:val="24"/>
          <w:lang w:val="sr-Latn-RS"/>
        </w:rPr>
        <w:t>растојањем од 0,5 m. Најмањи угао укрштања телефонског и електроенергетског</w:t>
      </w:r>
      <w:r>
        <w:rPr>
          <w:rFonts w:eastAsia="TimesNewRoman"/>
          <w:szCs w:val="24"/>
          <w:lang w:val="sr-RS"/>
        </w:rPr>
        <w:t xml:space="preserve"> </w:t>
      </w:r>
      <w:r>
        <w:rPr>
          <w:rFonts w:eastAsia="TimesNewRoman"/>
          <w:szCs w:val="24"/>
          <w:lang w:val="sr-Latn-RS"/>
        </w:rPr>
        <w:t>кабла износи 450,</w:t>
      </w:r>
    </w:p>
    <w:p>
      <w:pPr>
        <w:pStyle w:val="Normal"/>
        <w:ind w:firstLine="720"/>
        <w:rPr>
          <w:rFonts w:ascii="Times New Roman" w:hAnsi="Times New Roman"/>
        </w:rPr>
      </w:pPr>
      <w:r>
        <w:rPr>
          <w:rFonts w:eastAsia="TimesNewRoman"/>
          <w:szCs w:val="24"/>
          <w:lang w:val="sr-Latn-RS"/>
        </w:rPr>
        <w:t>- при паралелном полагању телефонских каблова са водоводном и канализационом</w:t>
      </w:r>
      <w:r>
        <w:rPr>
          <w:rFonts w:eastAsia="TimesNewRoman"/>
          <w:szCs w:val="24"/>
          <w:lang w:val="sr-RS"/>
        </w:rPr>
        <w:t xml:space="preserve"> </w:t>
      </w:r>
      <w:r>
        <w:rPr>
          <w:rFonts w:eastAsia="TimesNewRoman"/>
          <w:szCs w:val="24"/>
          <w:lang w:val="sr-Latn-RS"/>
        </w:rPr>
        <w:t>мрежом минимално хоризонтално растојање је 1,0 m. Код укрштања телефонских</w:t>
      </w:r>
      <w:r>
        <w:rPr>
          <w:rFonts w:eastAsia="TimesNewRoman"/>
          <w:szCs w:val="24"/>
          <w:lang w:val="sr-RS"/>
        </w:rPr>
        <w:t xml:space="preserve"> </w:t>
      </w:r>
      <w:r>
        <w:rPr>
          <w:rFonts w:eastAsia="TimesNewRoman"/>
          <w:szCs w:val="24"/>
          <w:lang w:val="sr-Latn-RS"/>
        </w:rPr>
        <w:t>каблова са водоводном и канализационом мрежом, телефонски кабл се полаже</w:t>
      </w:r>
      <w:r>
        <w:rPr>
          <w:rFonts w:eastAsia="TimesNewRoman"/>
          <w:szCs w:val="24"/>
          <w:lang w:val="sr-RS"/>
        </w:rPr>
        <w:t xml:space="preserve"> </w:t>
      </w:r>
      <w:r>
        <w:rPr>
          <w:rFonts w:eastAsia="TimesNewRoman"/>
          <w:szCs w:val="24"/>
          <w:lang w:val="sr-Latn-RS"/>
        </w:rPr>
        <w:t>изнад водоводне и канализационе мреже, са минималним растојањем од 0,2 m од</w:t>
      </w:r>
      <w:r>
        <w:rPr>
          <w:rFonts w:eastAsia="TimesNewRoman"/>
          <w:szCs w:val="24"/>
          <w:lang w:val="sr-RS"/>
        </w:rPr>
        <w:t xml:space="preserve"> </w:t>
      </w:r>
      <w:r>
        <w:rPr>
          <w:rFonts w:eastAsia="TimesNewRoman"/>
          <w:szCs w:val="24"/>
          <w:lang w:val="sr-Latn-RS"/>
        </w:rPr>
        <w:t>темена водоводне или канализационе цеви, с тим што се телефонски кабл полаже у</w:t>
      </w:r>
      <w:r>
        <w:rPr>
          <w:rFonts w:eastAsia="TimesNewRoman"/>
          <w:szCs w:val="24"/>
          <w:lang w:val="sr-RS"/>
        </w:rPr>
        <w:t xml:space="preserve"> </w:t>
      </w:r>
      <w:r>
        <w:rPr>
          <w:rFonts w:eastAsia="TimesNewRoman"/>
          <w:szCs w:val="24"/>
          <w:lang w:val="sr-Latn-RS"/>
        </w:rPr>
        <w:t>заштитну цев постављену управно на трасу водовода или канализације у дужини</w:t>
      </w:r>
      <w:r>
        <w:rPr>
          <w:rFonts w:eastAsia="TimesNewRoman"/>
          <w:szCs w:val="24"/>
          <w:lang w:val="sr-RS"/>
        </w:rPr>
        <w:t xml:space="preserve"> </w:t>
      </w:r>
      <w:r>
        <w:rPr>
          <w:rFonts w:eastAsia="TimesNewRoman"/>
          <w:szCs w:val="24"/>
          <w:lang w:val="sr-Latn-RS"/>
        </w:rPr>
        <w:t>најмање од по 1,0 m лево и десно од цеви,</w:t>
      </w:r>
    </w:p>
    <w:p>
      <w:pPr>
        <w:pStyle w:val="Normal"/>
        <w:ind w:firstLine="720"/>
        <w:rPr>
          <w:rFonts w:ascii="Times New Roman" w:hAnsi="Times New Roman"/>
        </w:rPr>
      </w:pPr>
      <w:r>
        <w:rPr>
          <w:rFonts w:eastAsia="TimesNewRoman"/>
          <w:szCs w:val="24"/>
          <w:lang w:val="sr-Latn-RS"/>
        </w:rPr>
        <w:t>- прелазак телефонских каблова преко асфалтираних улица вршити бушењем трупа</w:t>
      </w:r>
      <w:r>
        <w:rPr>
          <w:rFonts w:eastAsia="TimesNewRoman"/>
          <w:szCs w:val="24"/>
          <w:lang w:val="sr-RS"/>
        </w:rPr>
        <w:t xml:space="preserve"> </w:t>
      </w:r>
      <w:r>
        <w:rPr>
          <w:rFonts w:eastAsia="TimesNewRoman"/>
          <w:szCs w:val="24"/>
          <w:lang w:val="sr-Latn-RS"/>
        </w:rPr>
        <w:t>улица, са постављањем ПЕ цеви пречника 110 mm на дубини од 1,2 m од коте</w:t>
      </w:r>
      <w:r>
        <w:rPr>
          <w:rFonts w:eastAsia="TimesNewRoman"/>
          <w:szCs w:val="24"/>
          <w:lang w:val="sr-RS"/>
        </w:rPr>
        <w:t xml:space="preserve"> </w:t>
      </w:r>
      <w:r>
        <w:rPr>
          <w:rFonts w:eastAsia="TimesNewRoman"/>
          <w:szCs w:val="24"/>
          <w:lang w:val="sr-Latn-RS"/>
        </w:rPr>
        <w:t>коловоза.</w:t>
      </w:r>
    </w:p>
    <w:p>
      <w:pPr>
        <w:pStyle w:val="Normal"/>
        <w:rPr>
          <w:rFonts w:ascii="Times New Roman" w:hAnsi="Times New Roman"/>
          <w:szCs w:val="24"/>
        </w:rPr>
      </w:pPr>
      <w:r>
        <w:rPr>
          <w:szCs w:val="24"/>
        </w:rPr>
      </w:r>
    </w:p>
    <w:p>
      <w:pPr>
        <w:pStyle w:val="Style62"/>
        <w:widowControl/>
        <w:tabs>
          <w:tab w:val="left" w:pos="720" w:leader="none"/>
        </w:tabs>
        <w:spacing w:lineRule="auto" w:line="240" w:before="5" w:after="0"/>
        <w:ind w:hanging="0"/>
        <w:rPr>
          <w:rFonts w:ascii="Times New Roman" w:hAnsi="Times New Roman"/>
        </w:rPr>
      </w:pPr>
      <w:r>
        <w:rPr>
          <w:rFonts w:eastAsia="Calibri"/>
          <w:lang w:val="sr-RS"/>
        </w:rPr>
        <w:t>Прописана растојања су:</w:t>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p>
      <w:pPr>
        <w:pStyle w:val="Style62"/>
        <w:widowControl/>
        <w:tabs>
          <w:tab w:val="left" w:pos="720" w:leader="none"/>
        </w:tabs>
        <w:spacing w:lineRule="auto" w:line="240" w:before="5" w:after="0"/>
        <w:ind w:hanging="0"/>
        <w:rPr>
          <w:rFonts w:ascii="Times New Roman" w:hAnsi="Times New Roman"/>
        </w:rPr>
      </w:pPr>
      <w:r>
        <w:rPr/>
      </w:r>
    </w:p>
    <w:tbl>
      <w:tblPr>
        <w:tblpPr w:vertAnchor="text" w:horzAnchor="margin" w:leftFromText="180" w:rightFromText="180" w:tblpX="0" w:tblpY="12"/>
        <w:tblW w:w="893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4219"/>
        <w:gridCol w:w="2833"/>
        <w:gridCol w:w="1878"/>
      </w:tblGrid>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Врста објекта</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ru-RU"/>
              </w:rPr>
            </w:pPr>
            <w:r>
              <w:rPr>
                <w:rFonts w:eastAsia="Calibri"/>
                <w:lang w:val="sr-RS"/>
              </w:rPr>
              <w:t>Паралелно вођење или приближавање (</w:t>
            </w:r>
            <w:r>
              <w:rPr>
                <w:rFonts w:eastAsia="Calibri"/>
              </w:rPr>
              <w:t>m</w:t>
            </w:r>
            <w:r>
              <w:rPr>
                <w:rFonts w:eastAsia="Calibri"/>
                <w:lang w:val="ru-RU"/>
              </w:rPr>
              <w:t xml:space="preserve">) </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lang w:val="sr-RS"/>
              </w:rPr>
              <w:t>Укрштање</w:t>
            </w:r>
            <w:r>
              <w:rPr>
                <w:rFonts w:eastAsia="Calibri"/>
              </w:rPr>
              <w:t>.(m)</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Вододводне цеви</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0.6</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Цевоводи одводне канализације</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Цеви топловода</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0,8</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ru-RU"/>
              </w:rPr>
            </w:pPr>
            <w:r>
              <w:rPr>
                <w:rFonts w:eastAsia="Calibri"/>
                <w:lang w:val="ru-RU"/>
              </w:rPr>
              <w:t>Гасовод средњег и ниског притиска</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0.4</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rPr>
              <w:t>0.4</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Енергетски кабл до 10 kV</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0.5</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Енергетски кабл преко 10kV</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rPr>
              <w:t>1</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rPr>
              <w:t>0.</w:t>
            </w:r>
            <w:r>
              <w:rPr>
                <w:rFonts w:eastAsia="Calibri"/>
                <w:lang w:val="sr-RS"/>
              </w:rPr>
              <w:t>5</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 xml:space="preserve">Од регулационе линије зграда у насељу </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rPr>
            </w:pPr>
            <w:r>
              <w:rPr>
                <w:rFonts w:eastAsia="Calibri"/>
                <w:lang w:val="sr-RS"/>
              </w:rPr>
              <w:t>0,5</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Од доње ивица насипа железничких пруга, путева и аутопутева</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 xml:space="preserve">Од инсталације и резервоара са запаљивим и експлозивним горивом </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1,5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Од блокова ТК канализације</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0,2</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Од упоришта енергетских водова до 1</w:t>
            </w:r>
            <w:r>
              <w:rPr>
                <w:rFonts w:eastAsia="Calibri"/>
                <w:lang w:val="ru-RU"/>
              </w:rPr>
              <w:t xml:space="preserve"> </w:t>
            </w:r>
            <w:r>
              <w:rPr>
                <w:rFonts w:eastAsia="Calibri"/>
              </w:rPr>
              <w:t>kV</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0,8</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Без механичке заштите</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Од упоришта енергетских водова до 1</w:t>
            </w:r>
            <w:r>
              <w:rPr>
                <w:rFonts w:eastAsia="Calibri"/>
                <w:lang w:val="ru-RU"/>
              </w:rPr>
              <w:t xml:space="preserve"> </w:t>
            </w:r>
            <w:r>
              <w:rPr>
                <w:rFonts w:eastAsia="Calibri"/>
              </w:rPr>
              <w:t>kV</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0,3</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Са механичком заштитом</w:t>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Од упоришта енергетских водова преко 1</w:t>
            </w:r>
            <w:r>
              <w:rPr>
                <w:rFonts w:eastAsia="Calibri"/>
                <w:lang w:val="ru-RU"/>
              </w:rPr>
              <w:t xml:space="preserve"> </w:t>
            </w:r>
            <w:r>
              <w:rPr>
                <w:rFonts w:eastAsia="Calibri"/>
              </w:rPr>
              <w:t>kV</w:t>
            </w:r>
            <w:r>
              <w:rPr>
                <w:rFonts w:eastAsia="Calibri"/>
                <w:lang w:val="sr-RS"/>
              </w:rPr>
              <w:t xml:space="preserve"> без непосредног уземљења </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0,8</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Код неуземљених дрвених упоришта</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Код бетонских и челичних уземљених упоришта преко 1</w:t>
            </w:r>
            <w:r>
              <w:rPr>
                <w:rFonts w:eastAsia="Calibri"/>
                <w:lang w:val="ru-RU"/>
              </w:rPr>
              <w:t xml:space="preserve"> </w:t>
            </w:r>
            <w:r>
              <w:rPr>
                <w:rFonts w:eastAsia="Calibri"/>
              </w:rPr>
              <w:t>kV</w:t>
            </w:r>
            <w:r>
              <w:rPr>
                <w:rFonts w:eastAsia="Calibri"/>
                <w:lang w:val="sr-RS"/>
              </w:rPr>
              <w:t xml:space="preserve"> са непосредним уземљењем </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15</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r>
          </w:p>
        </w:tc>
      </w:tr>
      <w:tr>
        <w:trPr/>
        <w:tc>
          <w:tcPr>
            <w:tcW w:w="4219"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 xml:space="preserve">Гасовод дистрибутивна мрежа </w:t>
            </w:r>
          </w:p>
        </w:tc>
        <w:tc>
          <w:tcPr>
            <w:tcW w:w="2833"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0,5(0,3)мин.</w:t>
            </w:r>
          </w:p>
        </w:tc>
        <w:tc>
          <w:tcPr>
            <w:tcW w:w="1878" w:type="dxa"/>
            <w:tcBorders>
              <w:top w:val="single" w:sz="4" w:space="0" w:color="000000"/>
              <w:left w:val="single" w:sz="4" w:space="0" w:color="000000"/>
              <w:bottom w:val="single" w:sz="4" w:space="0" w:color="000000"/>
              <w:right w:val="single" w:sz="4" w:space="0" w:color="000000"/>
            </w:tcBorders>
          </w:tcPr>
          <w:p>
            <w:pPr>
              <w:pStyle w:val="Style62"/>
              <w:widowControl w:val="false"/>
              <w:tabs>
                <w:tab w:val="clear" w:pos="720"/>
                <w:tab w:val="left" w:pos="1080" w:leader="none"/>
              </w:tabs>
              <w:spacing w:lineRule="auto" w:line="240" w:before="5" w:after="0"/>
              <w:ind w:hanging="0"/>
              <w:rPr>
                <w:rFonts w:eastAsia="Calibri"/>
                <w:lang w:val="sr-RS"/>
              </w:rPr>
            </w:pPr>
            <w:r>
              <w:rPr>
                <w:rFonts w:eastAsia="Calibri"/>
                <w:lang w:val="sr-RS"/>
              </w:rPr>
              <w:t>0,5(0,3)мин.</w:t>
            </w:r>
          </w:p>
        </w:tc>
      </w:tr>
    </w:tbl>
    <w:p>
      <w:pPr>
        <w:pStyle w:val="Style62"/>
        <w:widowControl/>
        <w:tabs>
          <w:tab w:val="left" w:pos="720" w:leader="none"/>
        </w:tabs>
        <w:spacing w:lineRule="auto" w:line="240" w:before="5" w:after="0"/>
        <w:ind w:hanging="0"/>
        <w:rPr>
          <w:rFonts w:ascii="Times New Roman" w:hAnsi="Times New Roman" w:eastAsia="Calibri"/>
          <w:lang w:val="sr-RS"/>
        </w:rPr>
      </w:pPr>
      <w:r>
        <w:rPr>
          <w:rFonts w:eastAsia="Calibri"/>
          <w:lang w:val="sr-RS"/>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Normal"/>
        <w:rPr>
          <w:rFonts w:ascii="Times New Roman" w:hAnsi="Times New Roman"/>
          <w:szCs w:val="24"/>
        </w:rPr>
      </w:pPr>
      <w:r>
        <w:rPr>
          <w:szCs w:val="24"/>
        </w:rPr>
      </w:r>
    </w:p>
    <w:p>
      <w:pPr>
        <w:pStyle w:val="Style62"/>
        <w:widowControl/>
        <w:tabs>
          <w:tab w:val="left" w:pos="720" w:leader="none"/>
        </w:tabs>
        <w:spacing w:lineRule="auto" w:line="240" w:before="5" w:after="0"/>
        <w:ind w:hanging="0"/>
        <w:rPr>
          <w:rFonts w:ascii="Times New Roman" w:hAnsi="Times New Roman" w:eastAsia="Calibri"/>
          <w:lang w:val="sr-RS"/>
        </w:rPr>
      </w:pPr>
      <w:r>
        <w:rPr>
          <w:rFonts w:eastAsia="Calibri"/>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eastAsia="Calibri" w:eastAsiaTheme="minorHAnsi"/>
          <w:b/>
          <w:b/>
          <w:szCs w:val="24"/>
          <w:lang w:val="sr-RS"/>
        </w:rPr>
      </w:pPr>
      <w:r>
        <w:rPr>
          <w:rFonts w:eastAsia="Calibri" w:eastAsiaTheme="minorHAnsi"/>
          <w:b/>
          <w:szCs w:val="24"/>
          <w:lang w:val="sr-RS"/>
        </w:rPr>
      </w:r>
    </w:p>
    <w:p>
      <w:pPr>
        <w:pStyle w:val="Normal"/>
        <w:suppressAutoHyphens w:val="false"/>
        <w:spacing w:lineRule="auto" w:line="276"/>
        <w:rPr>
          <w:rFonts w:ascii="Times New Roman" w:hAnsi="Times New Roman"/>
        </w:rPr>
      </w:pPr>
      <w:r>
        <w:rPr>
          <w:rFonts w:eastAsia="Calibri" w:eastAsiaTheme="minorHAnsi"/>
          <w:b/>
          <w:szCs w:val="24"/>
          <w:lang w:val="sr-RS"/>
        </w:rPr>
        <w:t>9.3. Водоводна мрежа</w:t>
      </w:r>
    </w:p>
    <w:p>
      <w:pPr>
        <w:pStyle w:val="Normal"/>
        <w:suppressAutoHyphens w:val="false"/>
        <w:spacing w:lineRule="auto" w:line="276"/>
        <w:rPr>
          <w:rFonts w:ascii="Times New Roman" w:hAnsi="Times New Roman"/>
        </w:rPr>
      </w:pPr>
      <w:r>
        <w:rPr>
          <w:rFonts w:eastAsia="Calibri" w:eastAsiaTheme="minorHAnsi"/>
          <w:szCs w:val="24"/>
          <w:lang w:val="sr-RS"/>
        </w:rPr>
        <w:t xml:space="preserve">При изградњи у зони укрштања цевовода ископ вршити ручно. Минимална дубина цевовода је 1,2 m. Мерење потрошње на 2 m од регулационе линије. Шахт поставити у парцели власника. </w:t>
      </w:r>
    </w:p>
    <w:p>
      <w:pPr>
        <w:pStyle w:val="Normal"/>
        <w:rPr>
          <w:rFonts w:ascii="Times New Roman" w:hAnsi="Times New Roman"/>
        </w:rPr>
      </w:pPr>
      <w:r>
        <w:rPr>
          <w:rFonts w:eastAsia="Calibri" w:eastAsiaTheme="minorHAnsi"/>
          <w:szCs w:val="24"/>
          <w:lang w:val="sr-RS"/>
        </w:rPr>
        <w:t>Врста и класа цевног материјала за водоводну мрежу који ће бити уграђен, треба да испуни све потребне услове у погледу очувања физичких и хемијских карактеристика воде, притиска у цевоводу и његове заштите од спољних утицаја, како у току самог полагања и монтаже, тако и у току експлоатације. Избор грађевинског материјала од кога су начињене цеви, пад цевовода и остале техничке карактеристике, препушта се пројектанту на основу хидрауличког прорачуна али не мањег пресека од Ø 100 mm за јавну мрежу.</w:t>
      </w:r>
    </w:p>
    <w:p>
      <w:pPr>
        <w:pStyle w:val="Normal"/>
        <w:suppressAutoHyphens w:val="false"/>
        <w:spacing w:lineRule="auto" w:line="276"/>
        <w:rPr>
          <w:rFonts w:ascii="Times New Roman" w:hAnsi="Times New Roman"/>
        </w:rPr>
      </w:pPr>
      <w:r>
        <w:rPr>
          <w:rFonts w:eastAsia="Calibri" w:eastAsiaTheme="minorHAnsi"/>
          <w:szCs w:val="24"/>
          <w:lang w:val="sr-RS"/>
        </w:rPr>
        <w:t>Број и распоред противпожарних хидраната одредити на основу Закона о заштити од пожара и Правилника о техничким нормативима за инсталације хидрантске мреже за гашење пожара. Унутар комплекса ППОВ предвидети прстенасту хидрантску мрежу са трасом дуж</w:t>
      </w:r>
      <w:r>
        <w:rPr>
          <w:rFonts w:eastAsia="Calibri" w:cs="" w:cstheme="minorBidi" w:eastAsiaTheme="minorHAnsi"/>
          <w:sz w:val="22"/>
          <w:lang w:val="sr-Latn-RS"/>
        </w:rPr>
        <w:t xml:space="preserve"> </w:t>
      </w:r>
      <w:r>
        <w:rPr>
          <w:rFonts w:eastAsia="Calibri" w:eastAsiaTheme="minorHAnsi"/>
          <w:szCs w:val="24"/>
          <w:lang w:val="sr-RS"/>
        </w:rPr>
        <w:t>саобраћајних површина. У случају да се за хидрантску мрежу користи локални извор снабдевања водом потребно је параметре поузданих извора локалне водоводне мреже документовати у зависности од усвојеног извора снабдевања водом (нпр. елаборат о издашности бунара, карактеристике пројектованог резервоара са пумпном станицом и сл.).</w:t>
      </w:r>
    </w:p>
    <w:p>
      <w:pPr>
        <w:pStyle w:val="Normal"/>
        <w:suppressAutoHyphens w:val="false"/>
        <w:spacing w:lineRule="auto" w:line="276"/>
        <w:rPr>
          <w:rFonts w:ascii="Times New Roman" w:hAnsi="Times New Roman"/>
        </w:rPr>
      </w:pPr>
      <w:r>
        <w:rPr>
          <w:rFonts w:eastAsia="Calibri" w:eastAsiaTheme="minorHAnsi"/>
          <w:szCs w:val="24"/>
          <w:lang w:val="sr-RS"/>
        </w:rPr>
        <w:t>Приликом паралелног вођења цевовода или његовог укрштања са постојећим објектима инфраструктурних мрежа, треба поштовати међусобна хоризонтална и вертикална одстојања. Међусобно хоризонтално одстојање паралелног водовода и канализације у нивоу је минимум 1,5 m, ако је пречник водовода мањи од Ø200 mm или минимум 3,0 m, ако је пречник водовода већи или једнак Ø200 mm.</w:t>
      </w:r>
    </w:p>
    <w:p>
      <w:pPr>
        <w:pStyle w:val="Normal"/>
        <w:suppressAutoHyphens w:val="false"/>
        <w:spacing w:lineRule="auto" w:line="276"/>
        <w:rPr>
          <w:rFonts w:ascii="Times New Roman" w:hAnsi="Times New Roman"/>
        </w:rPr>
      </w:pPr>
      <w:r>
        <w:rPr>
          <w:rFonts w:eastAsia="Calibri" w:eastAsiaTheme="minorHAnsi"/>
          <w:szCs w:val="24"/>
          <w:lang w:val="sr-RS"/>
        </w:rPr>
        <w:t>Код укрштања водовода и канализације међусобно одстојање обезбедити минимум 0,4 m у случају да је водовод изнад канализације.</w:t>
      </w:r>
    </w:p>
    <w:p>
      <w:pPr>
        <w:pStyle w:val="Normal"/>
        <w:suppressAutoHyphens w:val="false"/>
        <w:spacing w:lineRule="auto" w:line="276"/>
        <w:rPr>
          <w:rFonts w:ascii="Times New Roman" w:hAnsi="Times New Roman"/>
        </w:rPr>
      </w:pPr>
      <w:r>
        <w:rPr>
          <w:rFonts w:eastAsia="Calibri" w:eastAsiaTheme="minorHAnsi"/>
          <w:szCs w:val="24"/>
          <w:lang w:val="sr-RS"/>
        </w:rPr>
        <w:t xml:space="preserve">Укрштања са осталом инфраструктуром обавити по важећим прописима и нормативима, уз обострану заштиту и под углом од 90°. </w:t>
      </w:r>
    </w:p>
    <w:p>
      <w:pPr>
        <w:pStyle w:val="Normal"/>
        <w:suppressAutoHyphens w:val="false"/>
        <w:spacing w:lineRule="auto" w:line="276"/>
        <w:rPr>
          <w:rFonts w:ascii="Times New Roman" w:hAnsi="Times New Roman" w:eastAsia="Calibri" w:eastAsiaTheme="minorHAnsi"/>
          <w:szCs w:val="24"/>
          <w:lang w:val="sr-RS"/>
        </w:rPr>
      </w:pPr>
      <w:r>
        <w:rPr>
          <w:rFonts w:eastAsia="Calibri" w:eastAsiaTheme="minorHAnsi"/>
          <w:szCs w:val="24"/>
          <w:lang w:val="sr-RS"/>
        </w:rPr>
      </w:r>
    </w:p>
    <w:p>
      <w:pPr>
        <w:pStyle w:val="Normal"/>
        <w:suppressAutoHyphens w:val="false"/>
        <w:spacing w:lineRule="auto" w:line="276"/>
        <w:rPr>
          <w:rFonts w:ascii="Times New Roman" w:hAnsi="Times New Roman"/>
        </w:rPr>
      </w:pPr>
      <w:r>
        <w:rPr>
          <w:rFonts w:eastAsia="Calibri" w:eastAsiaTheme="minorHAnsi"/>
          <w:b/>
          <w:szCs w:val="24"/>
        </w:rPr>
        <w:t>9.4. Канализациона мрежа</w:t>
      </w:r>
    </w:p>
    <w:p>
      <w:pPr>
        <w:pStyle w:val="Normal"/>
        <w:suppressAutoHyphens w:val="false"/>
        <w:spacing w:lineRule="auto" w:line="276"/>
        <w:rPr>
          <w:rFonts w:ascii="Times New Roman" w:hAnsi="Times New Roman"/>
        </w:rPr>
      </w:pPr>
      <w:r>
        <w:rPr>
          <w:rFonts w:eastAsia="Calibri" w:eastAsiaTheme="minorHAnsi"/>
          <w:szCs w:val="24"/>
          <w:lang w:val="sr-RS"/>
        </w:rPr>
        <w:t xml:space="preserve">Паралелно вођење водова електроенергетике, телефоније, гаса, водовода и др. у односу на колектор дозвољено је на 2,50 m од осе цевовода. Код укрштања  са другим инсталацијама обезбедити минимални висински размак од 0,50 m и то под углом од 90° или тупим углом. </w:t>
      </w:r>
    </w:p>
    <w:p>
      <w:pPr>
        <w:pStyle w:val="Normal"/>
        <w:suppressAutoHyphens w:val="false"/>
        <w:spacing w:lineRule="auto" w:line="276"/>
        <w:rPr>
          <w:rFonts w:ascii="Times New Roman" w:hAnsi="Times New Roman"/>
        </w:rPr>
      </w:pPr>
      <w:r>
        <w:rPr>
          <w:rFonts w:eastAsia="Calibri" w:eastAsiaTheme="minorHAnsi"/>
          <w:szCs w:val="24"/>
          <w:lang w:val="sr-RS"/>
        </w:rPr>
        <w:t xml:space="preserve">Минимална ширина рова у дну треба да буде једнака Д+2x0,30 m где је Д спољашњи пречник цеви. Код дела трасе цевовода који се налази у оквиру регулације улице (путно земљиште) приликом копања рова асфалт, бетон и сл. одбацује се на једну страну или утовара у камионе и одвози на депонију, а земља из ископа на другу. Лево и десно од рова мора се оставити пролаз од најмање 1.0 m чиме се постиже то да ископана земља не оптерећује страну рова како неби изазвала обрушавање у ров. Минимална ширина радилишта је 6,00 m. Код већих дубина ископа  потребна је и већа ширина радилишта. На делу где ће се поставити потисни цевовод може се у исти ров поставити и гравитациони. За цевовод који је трасиран ван појаса регулације улице (дворишта, баште, њиве) приликом копања рова први слојеви хумуса се одбацују на једну страну а земља на другу. У земљишту у коме постоји опасност од обрушавања, или ако се састоји од финог песка и шљунка, обавезна је подграда и то од дрвене грађе за мање дубине или од челичне ( Крингс-вербау оплате или Ларсенових талпи ) за веће дубине.  </w:t>
      </w:r>
    </w:p>
    <w:p>
      <w:pPr>
        <w:pStyle w:val="Normal"/>
        <w:suppressAutoHyphens w:val="false"/>
        <w:spacing w:lineRule="auto" w:line="276"/>
        <w:rPr>
          <w:rFonts w:ascii="Times New Roman" w:hAnsi="Times New Roman"/>
        </w:rPr>
      </w:pPr>
      <w:r>
        <w:rPr>
          <w:rFonts w:eastAsia="Calibri" w:eastAsiaTheme="minorHAnsi"/>
          <w:szCs w:val="24"/>
          <w:lang w:val="sr-RS"/>
        </w:rPr>
        <w:t xml:space="preserve">      </w:t>
      </w:r>
      <w:r>
        <w:rPr>
          <w:rFonts w:eastAsia="Calibri" w:eastAsiaTheme="minorHAnsi"/>
          <w:szCs w:val="24"/>
          <w:lang w:val="sr-RS"/>
        </w:rPr>
        <w:tab/>
        <w:t xml:space="preserve">При проласку испод пута, колектор поставити у заштитну челичну цев већег пречника, при чему растојање од коловоза до ивице облоге цеви не сме бити мање од 2,00 m. На деловима трасе на којима ће се цевовод наћи испод нивоа подземне воде потребно је исти заштитити анкер блоковима од испливавања. Због аксијалних сила које настају у хоризонталним или вертикалним скретањима, предвидети анкер блокове који ће преузети исте и пренети на тло. Обратити посебну пажњу на водопропусност цевовода као и споја шахта и цеви. Обавезно вршити пробе на водопропусност цевовода (заптивеност), исто се може вршити на више начина. Сипањем воде у деонице цевовода и одређивањем времена испитивања проверавати спојеве на цурење или стављањем под притисак деоница ваздуха уз додавање дима или сипање станци које дезодоришу ваздух и сачињавањем записника о проби. </w:t>
      </w:r>
    </w:p>
    <w:p>
      <w:pPr>
        <w:pStyle w:val="Normal"/>
        <w:suppressAutoHyphens w:val="false"/>
        <w:spacing w:lineRule="auto" w:line="276"/>
        <w:rPr>
          <w:rFonts w:ascii="Times New Roman" w:hAnsi="Times New Roman"/>
        </w:rPr>
      </w:pPr>
      <w:r>
        <w:rPr>
          <w:rFonts w:eastAsia="Calibri" w:eastAsiaTheme="minorHAnsi"/>
          <w:szCs w:val="24"/>
          <w:lang w:val="sr-RS"/>
        </w:rPr>
        <w:t xml:space="preserve">Будући објекти морају бити удаљени минимално 2,50 m од осе цевовода. </w:t>
      </w:r>
    </w:p>
    <w:p>
      <w:pPr>
        <w:pStyle w:val="Normal"/>
        <w:suppressAutoHyphens w:val="false"/>
        <w:spacing w:lineRule="auto" w:line="276"/>
        <w:rPr>
          <w:rFonts w:ascii="Times New Roman" w:hAnsi="Times New Roman"/>
        </w:rPr>
      </w:pPr>
      <w:r>
        <w:rPr>
          <w:rFonts w:eastAsia="Calibri" w:eastAsiaTheme="minorHAnsi"/>
          <w:szCs w:val="24"/>
          <w:lang w:val="sr-RS"/>
        </w:rPr>
        <w:t>За контролу рада канализације и могућност благовремене интервенције: на месту вертикалног прелома цевовода, на месту промене хоризонталног правца пружања цевовода и на месту улива бочног огранка, предвидети изградњу ревизионих шахтова. Исти морају бити од ПЕХД материјала или од префабрикованих бетонских елемената или ливени на лицу места.</w:t>
      </w:r>
    </w:p>
    <w:p>
      <w:pPr>
        <w:pStyle w:val="Normal"/>
        <w:suppressAutoHyphens w:val="false"/>
        <w:spacing w:lineRule="auto" w:line="276"/>
        <w:rPr>
          <w:rFonts w:ascii="Times New Roman" w:hAnsi="Times New Roman"/>
        </w:rPr>
      </w:pPr>
      <w:r>
        <w:rPr>
          <w:rFonts w:eastAsia="Calibri" w:eastAsiaTheme="minorHAnsi"/>
          <w:szCs w:val="24"/>
          <w:lang w:val="sr-RS"/>
        </w:rPr>
        <w:t xml:space="preserve"> </w:t>
      </w:r>
      <w:r>
        <w:rPr>
          <w:rFonts w:eastAsia="Calibri" w:eastAsiaTheme="minorHAnsi"/>
          <w:szCs w:val="24"/>
          <w:lang w:val="sr-RS"/>
        </w:rPr>
        <w:t>Избор грађевинског материјала од кога су начињене канализационе цеви, пад цевовода и остале техничке карактеристике, препушта се пројектанту на основу хидрауличког прорачуна и услова на терену.</w:t>
      </w:r>
    </w:p>
    <w:p>
      <w:pPr>
        <w:pStyle w:val="Normal"/>
        <w:suppressAutoHyphens w:val="false"/>
        <w:spacing w:lineRule="auto" w:line="276"/>
        <w:rPr>
          <w:rFonts w:ascii="Times New Roman" w:hAnsi="Times New Roman"/>
        </w:rPr>
      </w:pPr>
      <w:r>
        <w:rPr>
          <w:rFonts w:eastAsia="Calibri" w:eastAsiaTheme="minorHAnsi"/>
          <w:szCs w:val="24"/>
          <w:lang w:val="sr-RS"/>
        </w:rPr>
        <w:t>Радове, око ископа рова, разупирања зидова рова, полагања и међусобног повезивања цеви, затрпавања цевовода и рова песком и ископаним материјалом, испитивања цевовода и пуштања у рад, извршити на основу важећих техничких прописа и услова за ову врсту радова и инсталација.</w:t>
      </w:r>
    </w:p>
    <w:p>
      <w:pPr>
        <w:pStyle w:val="Normal"/>
        <w:suppressAutoHyphens w:val="false"/>
        <w:spacing w:lineRule="auto" w:line="276"/>
        <w:rPr>
          <w:rFonts w:ascii="Times New Roman" w:hAnsi="Times New Roman"/>
        </w:rPr>
      </w:pPr>
      <w:r>
        <w:rPr>
          <w:rFonts w:eastAsia="Calibri" w:eastAsiaTheme="minorHAnsi"/>
          <w:szCs w:val="24"/>
          <w:lang w:val="sr-RS"/>
        </w:rPr>
        <w:t xml:space="preserve">Потребно је да се за будуће стање сви будући потрошачи придржавају правилника о потребном квалитету отпадне воде која се може упустити у јавну канализацију. </w:t>
      </w:r>
    </w:p>
    <w:p>
      <w:pPr>
        <w:pStyle w:val="Normal"/>
        <w:suppressAutoHyphens w:val="false"/>
        <w:spacing w:lineRule="auto" w:line="276"/>
        <w:rPr>
          <w:rFonts w:ascii="Times New Roman" w:hAnsi="Times New Roman"/>
        </w:rPr>
      </w:pPr>
      <w:r>
        <w:rPr>
          <w:rFonts w:eastAsia="Calibri" w:eastAsiaTheme="minorHAnsi"/>
          <w:szCs w:val="24"/>
          <w:lang w:val="sr-RS"/>
        </w:rPr>
        <w:t>Пре почетка радова извршити снимања и обележавања траса постојећих подземних комуналних инсталација уколико их има и пријавити почетак радова надлежним јавним предузећима.</w:t>
      </w:r>
    </w:p>
    <w:p>
      <w:pPr>
        <w:pStyle w:val="Normal"/>
        <w:suppressAutoHyphens w:val="false"/>
        <w:spacing w:lineRule="auto" w:line="276"/>
        <w:rPr>
          <w:rFonts w:ascii="Times New Roman" w:hAnsi="Times New Roman"/>
        </w:rPr>
      </w:pPr>
      <w:r>
        <w:rPr>
          <w:rFonts w:eastAsia="Calibri" w:eastAsiaTheme="minorHAnsi"/>
          <w:szCs w:val="24"/>
          <w:lang w:val="sr-RS"/>
        </w:rPr>
        <w:t>Обезбедити несметано кретање деце, старих, хендикепираних и инвалидних лица на деловима на којима се одвија пешачки саобраћај.</w:t>
      </w:r>
    </w:p>
    <w:p>
      <w:pPr>
        <w:pStyle w:val="Normal"/>
        <w:tabs>
          <w:tab w:val="clear" w:pos="720"/>
          <w:tab w:val="left" w:pos="426" w:leader="none"/>
        </w:tabs>
        <w:suppressAutoHyphens w:val="false"/>
        <w:ind w:left="720" w:right="-1" w:hanging="720"/>
        <w:rPr>
          <w:rFonts w:ascii="Times New Roman" w:hAnsi="Times New Roman" w:eastAsia="Calibri" w:eastAsiaTheme="minorHAnsi"/>
          <w:b/>
          <w:b/>
          <w:bCs/>
          <w:szCs w:val="24"/>
        </w:rPr>
      </w:pPr>
      <w:r>
        <w:rPr>
          <w:rFonts w:eastAsia="Calibri" w:eastAsiaTheme="minorHAnsi"/>
          <w:b/>
          <w:bCs/>
          <w:szCs w:val="24"/>
        </w:rPr>
      </w:r>
    </w:p>
    <w:p>
      <w:pPr>
        <w:pStyle w:val="Normal"/>
        <w:suppressAutoHyphens w:val="false"/>
        <w:spacing w:lineRule="auto" w:line="276"/>
        <w:rPr>
          <w:rFonts w:ascii="Times New Roman" w:hAnsi="Times New Roman"/>
        </w:rPr>
      </w:pPr>
      <w:r>
        <w:rPr>
          <w:rFonts w:eastAsia="Calibri" w:eastAsiaTheme="minorHAnsi"/>
          <w:b/>
          <w:szCs w:val="24"/>
        </w:rPr>
        <w:t>9.5. Постојење за пречишћавање отпадних вода (ППОВ)</w:t>
      </w:r>
    </w:p>
    <w:p>
      <w:pPr>
        <w:pStyle w:val="Normal"/>
        <w:suppressAutoHyphens w:val="false"/>
        <w:spacing w:lineRule="auto" w:line="276"/>
        <w:rPr>
          <w:rFonts w:ascii="Times New Roman" w:hAnsi="Times New Roman"/>
        </w:rPr>
      </w:pPr>
      <w:r>
        <w:rPr>
          <w:rFonts w:eastAsia="Calibri" w:eastAsiaTheme="minorHAnsi"/>
          <w:b/>
          <w:szCs w:val="24"/>
          <w:lang w:val="sr-RS"/>
        </w:rPr>
        <w:t>ППОВ</w:t>
      </w:r>
    </w:p>
    <w:p>
      <w:pPr>
        <w:pStyle w:val="Normal"/>
        <w:suppressAutoHyphens w:val="false"/>
        <w:spacing w:lineRule="auto" w:line="276"/>
        <w:rPr>
          <w:rFonts w:ascii="Times New Roman" w:hAnsi="Times New Roman"/>
        </w:rPr>
      </w:pPr>
      <w:r>
        <w:rPr>
          <w:rFonts w:eastAsia="Calibri" w:eastAsiaTheme="minorHAnsi"/>
          <w:szCs w:val="24"/>
          <w:lang w:val="sr-RS"/>
        </w:rPr>
        <w:t>Комплекс постројења предвидети у ограђеном – контролисаном простору ради заштите објеката, контролисаног уласка и извођења интервенција на објекту, као и других мера заштите и одржавања. Улаз у комплекс обезбедити кроз клизну колску и пешачку капију.</w:t>
      </w:r>
    </w:p>
    <w:p>
      <w:pPr>
        <w:pStyle w:val="Normal"/>
        <w:suppressAutoHyphens w:val="false"/>
        <w:spacing w:lineRule="auto" w:line="276"/>
        <w:rPr>
          <w:rFonts w:ascii="Times New Roman" w:hAnsi="Times New Roman"/>
        </w:rPr>
      </w:pPr>
      <w:r>
        <w:rPr>
          <w:rFonts w:eastAsia="Calibri" w:eastAsiaTheme="minorHAnsi"/>
          <w:szCs w:val="24"/>
          <w:lang w:val="sr-RS"/>
        </w:rPr>
        <w:t>Положај објеката унутар комплекса дефинисати према захтевима технолошког процеса поштујући мере безбедности и заштите које таква врста објеката треба да испуни.</w:t>
      </w:r>
    </w:p>
    <w:p>
      <w:pPr>
        <w:pStyle w:val="Normal"/>
        <w:suppressAutoHyphens w:val="false"/>
        <w:spacing w:lineRule="auto" w:line="276"/>
        <w:rPr>
          <w:rFonts w:ascii="Times New Roman" w:hAnsi="Times New Roman"/>
        </w:rPr>
      </w:pPr>
      <w:r>
        <w:rPr>
          <w:rFonts w:eastAsia="Calibri" w:eastAsiaTheme="minorHAnsi"/>
          <w:szCs w:val="24"/>
          <w:lang w:val="sr-RS"/>
        </w:rPr>
        <w:t>У оквиру комплекса предвидети неопходне манипулативне површине, тротоаре и зеленило.</w:t>
      </w:r>
    </w:p>
    <w:p>
      <w:pPr>
        <w:pStyle w:val="Normal"/>
        <w:suppressAutoHyphens w:val="false"/>
        <w:spacing w:lineRule="auto" w:line="276"/>
        <w:rPr>
          <w:rFonts w:ascii="Times New Roman" w:hAnsi="Times New Roman"/>
        </w:rPr>
      </w:pPr>
      <w:r>
        <w:rPr>
          <w:rFonts w:eastAsia="Calibri" w:eastAsiaTheme="minorHAnsi"/>
          <w:szCs w:val="24"/>
          <w:lang w:val="sr-RS"/>
        </w:rPr>
        <w:t xml:space="preserve">Слободне површине засађују се декоративним зеленилом, са формирањем заштитног појаса дуж ограде комплекса који треба да обезбеди заштиту од ширења евентуалних непријатних гасова ван комплекса као и прикладан пејсаж, уз употребу претежно аутохтоних дрвенастих врста. </w:t>
      </w:r>
    </w:p>
    <w:p>
      <w:pPr>
        <w:pStyle w:val="Normal"/>
        <w:suppressAutoHyphens w:val="false"/>
        <w:spacing w:lineRule="auto" w:line="276"/>
        <w:rPr>
          <w:rFonts w:ascii="Times New Roman" w:hAnsi="Times New Roman"/>
        </w:rPr>
      </w:pPr>
      <w:r>
        <w:rPr>
          <w:rFonts w:eastAsia="Calibri" w:eastAsiaTheme="minorHAnsi"/>
          <w:szCs w:val="24"/>
          <w:lang w:val="sr-RS"/>
        </w:rPr>
        <w:t>Предвидети уређаје за мерење и регистровање количина отпадних вода пре и после третмана на постројењу са одговарајућим анализама квалитета отпадних и пречишћених вода као и места за узорковање за потребе испитивања биохемијских и механичких параметара квалитета отпадних вода.</w:t>
      </w:r>
    </w:p>
    <w:p>
      <w:pPr>
        <w:pStyle w:val="Normal"/>
        <w:suppressAutoHyphens w:val="false"/>
        <w:spacing w:lineRule="auto" w:line="276"/>
        <w:rPr>
          <w:rFonts w:ascii="Times New Roman" w:hAnsi="Times New Roman"/>
        </w:rPr>
      </w:pPr>
      <w:r>
        <w:rPr>
          <w:rFonts w:eastAsia="Calibri" w:eastAsiaTheme="minorHAnsi"/>
          <w:szCs w:val="24"/>
          <w:lang w:val="sr-RS"/>
        </w:rPr>
        <w:t>Концепцију постројења прилагодити савременим и рационалним технологијама уз сагледавање утицаја посебних загађивача на њихов рад.</w:t>
      </w:r>
    </w:p>
    <w:p>
      <w:pPr>
        <w:pStyle w:val="Normal"/>
        <w:suppressAutoHyphens w:val="false"/>
        <w:spacing w:lineRule="auto" w:line="276"/>
        <w:rPr>
          <w:rFonts w:ascii="Times New Roman" w:hAnsi="Times New Roman"/>
        </w:rPr>
      </w:pPr>
      <w:r>
        <w:rPr>
          <w:rFonts w:eastAsia="Calibri" w:eastAsiaTheme="minorHAnsi"/>
          <w:szCs w:val="24"/>
          <w:lang w:val="sr-RS"/>
        </w:rPr>
        <w:t>При пројектовању и изградњи свих објеката у обзир узети могуће услове високих нивоа подземних вода и евентуални утицај великих вода.</w:t>
      </w:r>
    </w:p>
    <w:p>
      <w:pPr>
        <w:pStyle w:val="Normal"/>
        <w:suppressAutoHyphens w:val="false"/>
        <w:spacing w:lineRule="auto" w:line="276"/>
        <w:rPr>
          <w:rFonts w:ascii="Times New Roman" w:hAnsi="Times New Roman"/>
        </w:rPr>
      </w:pPr>
      <w:r>
        <w:rPr>
          <w:rFonts w:eastAsia="Calibri" w:eastAsiaTheme="minorHAnsi"/>
          <w:szCs w:val="24"/>
          <w:lang w:val="sr-RS"/>
        </w:rPr>
        <w:t>Пројектованим решењем доказати да ће се реализацијом постројења за пречишћавање отпадних вода, без обзира на фазност реализације, очувати прописани услови за упуштање отпадних вода у реципијент, у складу са планом заштите вода од загађивања и посебним законима који уређују област заштите животне средине.</w:t>
      </w:r>
    </w:p>
    <w:p>
      <w:pPr>
        <w:pStyle w:val="Normal"/>
        <w:suppressAutoHyphens w:val="false"/>
        <w:spacing w:lineRule="auto" w:line="276"/>
        <w:rPr>
          <w:rFonts w:ascii="Times New Roman" w:hAnsi="Times New Roman"/>
        </w:rPr>
      </w:pPr>
      <w:r>
        <w:rPr>
          <w:rFonts w:eastAsia="Calibri" w:eastAsiaTheme="minorHAnsi"/>
          <w:szCs w:val="24"/>
          <w:lang w:val="sr-RS"/>
        </w:rPr>
        <w:t>Изградњу колектора и постројења за пречишћавање отпадних вода планирати истовремено или најпре постројење, јер се непречишћене отпадне воде не смеју упуштати у реципијент.</w:t>
      </w:r>
    </w:p>
    <w:p>
      <w:pPr>
        <w:pStyle w:val="Normal"/>
        <w:suppressAutoHyphens w:val="false"/>
        <w:spacing w:lineRule="auto" w:line="276"/>
        <w:rPr>
          <w:rFonts w:ascii="Times New Roman" w:hAnsi="Times New Roman"/>
        </w:rPr>
      </w:pPr>
      <w:r>
        <w:rPr>
          <w:rFonts w:eastAsia="Calibri" w:eastAsiaTheme="minorHAnsi"/>
          <w:szCs w:val="24"/>
          <w:lang w:val="sr-RS"/>
        </w:rPr>
        <w:t>Предвидети мере за заштиту објеката од великих вода и дати прорачуне утицаја испуштених вода на реципјент.</w:t>
      </w:r>
    </w:p>
    <w:p>
      <w:pPr>
        <w:pStyle w:val="Normal"/>
        <w:suppressAutoHyphens w:val="false"/>
        <w:spacing w:lineRule="auto" w:line="276"/>
        <w:rPr>
          <w:rFonts w:ascii="Times New Roman" w:hAnsi="Times New Roman"/>
        </w:rPr>
      </w:pPr>
      <w:r>
        <w:rPr>
          <w:rFonts w:eastAsia="Calibri" w:eastAsiaTheme="minorHAnsi"/>
          <w:szCs w:val="24"/>
          <w:lang w:val="sr-RS"/>
        </w:rPr>
        <w:t xml:space="preserve">Пројектом предвидети објекте и контејнере за прихват хазардних и загађујућих материја насталих у процесу пречишћавања, (остатак из процеса пречишћавања, муљ,..). Место њиховог коначног одлагања одредиће надлежни санитарни орган. </w:t>
      </w:r>
    </w:p>
    <w:p>
      <w:pPr>
        <w:pStyle w:val="Normal"/>
        <w:suppressAutoHyphens w:val="false"/>
        <w:spacing w:lineRule="auto" w:line="276"/>
        <w:rPr>
          <w:rFonts w:ascii="Times New Roman" w:hAnsi="Times New Roman"/>
        </w:rPr>
      </w:pPr>
      <w:r>
        <w:rPr>
          <w:rFonts w:eastAsia="Calibri" w:eastAsiaTheme="minorHAnsi"/>
          <w:szCs w:val="24"/>
          <w:lang w:val="sr-RS"/>
        </w:rPr>
        <w:t>На месту изливне грађевине предвидети одговарајућу заштиту дна и косина водотока, и иста не сме да негативно утиче на режим вода, пронос наноса, и сл.</w:t>
      </w:r>
    </w:p>
    <w:p>
      <w:pPr>
        <w:pStyle w:val="Normal"/>
        <w:suppressAutoHyphens w:val="false"/>
        <w:spacing w:lineRule="auto" w:line="276"/>
        <w:rPr>
          <w:rFonts w:ascii="Times New Roman" w:hAnsi="Times New Roman"/>
        </w:rPr>
      </w:pPr>
      <w:r>
        <w:rPr>
          <w:rFonts w:eastAsia="Calibri" w:eastAsiaTheme="minorHAnsi"/>
          <w:szCs w:val="24"/>
          <w:lang w:val="sr-RS"/>
        </w:rPr>
        <w:t>Урадити пројекат управљања постројењем у оквиру кога се морају дефинисати начин и динамика праћења контроле пројектом утврђених параметара појединих процеса пречишћавања за очекиване промењиве услове у погледу квантитативно-квалитативних особина дотеклих отпадних вода као и прорачуне утицаја испуштених вода на реципјент.</w:t>
      </w:r>
    </w:p>
    <w:p>
      <w:pPr>
        <w:pStyle w:val="Normal"/>
        <w:suppressAutoHyphens w:val="false"/>
        <w:spacing w:lineRule="auto" w:line="276"/>
        <w:rPr>
          <w:rFonts w:ascii="Times New Roman" w:hAnsi="Times New Roman"/>
        </w:rPr>
      </w:pPr>
      <w:r>
        <w:rPr>
          <w:rFonts w:eastAsia="Calibri" w:eastAsiaTheme="minorHAnsi"/>
          <w:szCs w:val="24"/>
          <w:lang w:val="sr-RS"/>
        </w:rPr>
        <w:t>Утицај испуштања пречишћених отпадних вода у реципијенту, прорачунати на меродавни протицај, средње месечну малу воду 95% обезбеђености.</w:t>
      </w:r>
    </w:p>
    <w:p>
      <w:pPr>
        <w:pStyle w:val="Normal"/>
        <w:tabs>
          <w:tab w:val="clear" w:pos="720"/>
          <w:tab w:val="left" w:pos="426" w:leader="none"/>
        </w:tabs>
        <w:suppressAutoHyphens w:val="false"/>
        <w:ind w:left="720" w:right="-1" w:hanging="720"/>
        <w:rPr>
          <w:rFonts w:ascii="Times New Roman" w:hAnsi="Times New Roman" w:eastAsia="Calibri" w:eastAsiaTheme="minorHAnsi"/>
          <w:b/>
          <w:b/>
          <w:bCs/>
          <w:szCs w:val="24"/>
        </w:rPr>
      </w:pPr>
      <w:r>
        <w:rPr>
          <w:rFonts w:eastAsia="Calibri" w:eastAsiaTheme="minorHAnsi"/>
          <w:b/>
          <w:bCs/>
          <w:szCs w:val="24"/>
        </w:rPr>
      </w:r>
    </w:p>
    <w:p>
      <w:pPr>
        <w:pStyle w:val="Normal"/>
        <w:tabs>
          <w:tab w:val="clear" w:pos="720"/>
          <w:tab w:val="left" w:pos="426" w:leader="none"/>
        </w:tabs>
        <w:suppressAutoHyphens w:val="false"/>
        <w:ind w:left="720" w:right="-1" w:hanging="720"/>
        <w:rPr>
          <w:rFonts w:ascii="Times New Roman" w:hAnsi="Times New Roman" w:eastAsia="Calibri" w:eastAsiaTheme="minorHAnsi"/>
          <w:b/>
          <w:b/>
          <w:bCs/>
          <w:szCs w:val="24"/>
        </w:rPr>
      </w:pPr>
      <w:r>
        <w:rPr>
          <w:rFonts w:eastAsia="Calibri" w:eastAsiaTheme="minorHAnsi"/>
          <w:b/>
          <w:bCs/>
          <w:szCs w:val="24"/>
        </w:rPr>
      </w:r>
    </w:p>
    <w:p>
      <w:pPr>
        <w:pStyle w:val="Normal"/>
        <w:tabs>
          <w:tab w:val="clear" w:pos="720"/>
          <w:tab w:val="left" w:pos="426" w:leader="none"/>
        </w:tabs>
        <w:suppressAutoHyphens w:val="false"/>
        <w:ind w:left="720" w:right="-1" w:hanging="720"/>
        <w:rPr>
          <w:rFonts w:ascii="Times New Roman" w:hAnsi="Times New Roman"/>
        </w:rPr>
      </w:pPr>
      <w:r>
        <w:rPr>
          <w:rFonts w:eastAsia="Calibri" w:eastAsiaTheme="minorHAnsi"/>
          <w:b/>
          <w:bCs/>
          <w:szCs w:val="24"/>
        </w:rPr>
        <w:t>10. Урбанистичко и архитектонско обликовање</w:t>
      </w:r>
    </w:p>
    <w:p>
      <w:pPr>
        <w:pStyle w:val="Normal"/>
        <w:shd w:val="clear" w:color="auto" w:fill="FFFFFF"/>
        <w:ind w:firstLine="426"/>
        <w:rPr>
          <w:rFonts w:ascii="Times New Roman" w:hAnsi="Times New Roman"/>
        </w:rPr>
      </w:pPr>
      <w:r>
        <w:rPr>
          <w:rFonts w:eastAsia="Times New Roman"/>
          <w:szCs w:val="24"/>
        </w:rPr>
        <w:t>У фази пројектовања урадити геолошка истраживања терена, која ће одредити дубину и начин фундирања објеката, као и заштиту објеката и инфраструктуре,.</w:t>
      </w:r>
      <w:r>
        <w:rPr>
          <w:szCs w:val="24"/>
        </w:rPr>
        <w:t>начин извођења објек</w:t>
      </w:r>
      <w:r>
        <w:rPr>
          <w:szCs w:val="24"/>
          <w:lang w:val="sr-RS"/>
        </w:rPr>
        <w:t>а</w:t>
      </w:r>
      <w:r>
        <w:rPr>
          <w:szCs w:val="24"/>
        </w:rPr>
        <w:t>та, поступак обезбеђења тла као и начин експлоатације објекта.</w:t>
      </w:r>
    </w:p>
    <w:p>
      <w:pPr>
        <w:pStyle w:val="Normal"/>
        <w:tabs>
          <w:tab w:val="clear" w:pos="720"/>
          <w:tab w:val="left" w:pos="426" w:leader="none"/>
        </w:tabs>
        <w:suppressAutoHyphens w:val="false"/>
        <w:ind w:firstLine="426"/>
        <w:rPr>
          <w:rFonts w:ascii="Times New Roman" w:hAnsi="Times New Roman" w:eastAsia="Times New Roman"/>
          <w:szCs w:val="24"/>
        </w:rPr>
      </w:pPr>
      <w:r>
        <w:rPr>
          <w:rFonts w:eastAsia="Times New Roman"/>
          <w:szCs w:val="24"/>
        </w:rPr>
      </w:r>
    </w:p>
    <w:p>
      <w:pPr>
        <w:pStyle w:val="Normal"/>
        <w:tabs>
          <w:tab w:val="clear" w:pos="720"/>
          <w:tab w:val="left" w:pos="426" w:leader="none"/>
        </w:tabs>
        <w:suppressAutoHyphens w:val="false"/>
        <w:ind w:firstLine="426"/>
        <w:rPr>
          <w:rFonts w:ascii="Times New Roman" w:hAnsi="Times New Roman"/>
        </w:rPr>
      </w:pPr>
      <w:r>
        <w:rPr>
          <w:rFonts w:eastAsia="Times New Roman"/>
          <w:szCs w:val="24"/>
        </w:rPr>
        <w:t>Објекте пројектовати у складу са наменом</w:t>
      </w:r>
      <w:r>
        <w:rPr>
          <w:rFonts w:eastAsia="Times New Roman"/>
          <w:szCs w:val="24"/>
          <w:lang w:val="sr-RS"/>
        </w:rPr>
        <w:t>,</w:t>
      </w:r>
      <w:r>
        <w:rPr>
          <w:rFonts w:eastAsia="Times New Roman"/>
          <w:szCs w:val="24"/>
        </w:rPr>
        <w:t xml:space="preserve"> али и са природним амбијентом и условима околине</w:t>
      </w:r>
      <w:r>
        <w:rPr>
          <w:rFonts w:eastAsia="Times New Roman"/>
          <w:szCs w:val="24"/>
          <w:lang w:val="sr-RS"/>
        </w:rPr>
        <w:t xml:space="preserve"> уз обавезну заштиту од поплавних вода (близина реке)</w:t>
      </w:r>
      <w:r>
        <w:rPr>
          <w:rFonts w:eastAsia="Times New Roman"/>
          <w:szCs w:val="24"/>
        </w:rPr>
        <w:t xml:space="preserve">. </w:t>
      </w:r>
    </w:p>
    <w:p>
      <w:pPr>
        <w:pStyle w:val="Normal"/>
        <w:tabs>
          <w:tab w:val="clear" w:pos="720"/>
          <w:tab w:val="left" w:pos="426" w:leader="none"/>
        </w:tabs>
        <w:suppressAutoHyphens w:val="false"/>
        <w:ind w:right="-1" w:hanging="0"/>
        <w:rPr>
          <w:rFonts w:ascii="Times New Roman" w:hAnsi="Times New Roman" w:eastAsia="Calibri" w:eastAsiaTheme="minorHAnsi"/>
          <w:szCs w:val="24"/>
        </w:rPr>
      </w:pPr>
      <w:r>
        <w:rPr>
          <w:rFonts w:eastAsia="Calibri" w:eastAsiaTheme="minorHAnsi"/>
          <w:szCs w:val="24"/>
        </w:rPr>
      </w:r>
    </w:p>
    <w:p>
      <w:pPr>
        <w:pStyle w:val="Normal"/>
        <w:tabs>
          <w:tab w:val="clear" w:pos="720"/>
          <w:tab w:val="left" w:pos="426" w:leader="none"/>
        </w:tabs>
        <w:suppressAutoHyphens w:val="false"/>
        <w:ind w:right="-1" w:hanging="0"/>
        <w:rPr>
          <w:rFonts w:ascii="Times New Roman" w:hAnsi="Times New Roman" w:eastAsia="Calibri" w:eastAsiaTheme="minorHAnsi"/>
          <w:szCs w:val="24"/>
        </w:rPr>
      </w:pPr>
      <w:r>
        <w:rPr>
          <w:rFonts w:eastAsia="Calibri" w:eastAsiaTheme="minorHAnsi"/>
          <w:szCs w:val="24"/>
        </w:rPr>
      </w:r>
    </w:p>
    <w:p>
      <w:pPr>
        <w:pStyle w:val="Normal"/>
        <w:tabs>
          <w:tab w:val="clear" w:pos="720"/>
          <w:tab w:val="left" w:pos="426" w:leader="none"/>
        </w:tabs>
        <w:suppressAutoHyphens w:val="false"/>
        <w:ind w:left="720" w:right="-1" w:hanging="720"/>
        <w:rPr>
          <w:rFonts w:ascii="Times New Roman" w:hAnsi="Times New Roman"/>
        </w:rPr>
      </w:pPr>
      <w:r>
        <w:rPr>
          <w:rFonts w:eastAsia="Calibri" w:eastAsiaTheme="minorHAnsi"/>
          <w:b/>
          <w:bCs/>
          <w:szCs w:val="24"/>
        </w:rPr>
        <w:t>11. Мере енергетске ефикасности и изградње</w:t>
      </w:r>
    </w:p>
    <w:p>
      <w:pPr>
        <w:pStyle w:val="Normal"/>
        <w:tabs>
          <w:tab w:val="clear" w:pos="720"/>
          <w:tab w:val="left" w:pos="0" w:leader="none"/>
          <w:tab w:val="left" w:pos="426" w:leader="none"/>
        </w:tabs>
        <w:ind w:firstLine="426"/>
        <w:rPr>
          <w:rFonts w:ascii="Times New Roman" w:hAnsi="Times New Roman"/>
        </w:rPr>
      </w:pPr>
      <w:r>
        <w:rPr>
          <w:spacing w:val="-2"/>
          <w:szCs w:val="24"/>
          <w:lang w:val="ru-RU" w:eastAsia="ar-SA"/>
        </w:rPr>
        <w:t>У обухвату плана се не планира изградња објеката који  подлежу правилима и мерама енергетске ефикасности.</w:t>
      </w:r>
    </w:p>
    <w:p>
      <w:pPr>
        <w:pStyle w:val="Normal"/>
        <w:ind w:firstLine="426"/>
        <w:rPr>
          <w:rFonts w:ascii="Times New Roman" w:hAnsi="Times New Roman"/>
        </w:rPr>
      </w:pPr>
      <w:r>
        <w:rPr>
          <w:rFonts w:eastAsia="Lucida Sans Unicode"/>
          <w:kern w:val="2"/>
          <w:szCs w:val="24"/>
          <w:lang w:eastAsia="ar-SA"/>
        </w:rPr>
        <w:t>Пожељно је користити електричну енергију произведену из обновљивих извора енергије –  постављати потребан капацитет соларних колектора</w:t>
      </w:r>
      <w:r>
        <w:rPr>
          <w:rFonts w:eastAsia="Lucida Sans Unicode"/>
          <w:kern w:val="2"/>
          <w:szCs w:val="24"/>
          <w:lang w:val="sr-RS" w:eastAsia="ar-SA"/>
        </w:rPr>
        <w:t xml:space="preserve"> на терену или крововима објеката</w:t>
      </w:r>
      <w:r>
        <w:rPr>
          <w:rFonts w:eastAsia="Lucida Sans Unicode"/>
          <w:kern w:val="2"/>
          <w:szCs w:val="24"/>
          <w:lang w:eastAsia="ar-SA"/>
        </w:rPr>
        <w:t>.</w:t>
      </w:r>
      <w:r>
        <w:rPr>
          <w:rFonts w:eastAsia="Times New Roman"/>
          <w:bCs/>
          <w:szCs w:val="24"/>
        </w:rPr>
        <w:t xml:space="preserve"> </w:t>
      </w:r>
    </w:p>
    <w:p>
      <w:pPr>
        <w:pStyle w:val="Normal"/>
        <w:spacing w:lineRule="auto" w:line="259" w:before="0" w:after="160"/>
        <w:jc w:val="left"/>
        <w:rPr>
          <w:rFonts w:ascii="Times New Roman" w:hAnsi="Times New Roman" w:eastAsia="Calibri" w:eastAsiaTheme="minorHAnsi"/>
          <w:szCs w:val="24"/>
        </w:rPr>
      </w:pPr>
      <w:r>
        <w:rPr>
          <w:rFonts w:eastAsia="Calibri" w:eastAsiaTheme="minorHAnsi"/>
          <w:szCs w:val="24"/>
        </w:rPr>
      </w:r>
      <w:r>
        <w:br w:type="page"/>
      </w:r>
    </w:p>
    <w:p>
      <w:pPr>
        <w:pStyle w:val="Normal"/>
        <w:tabs>
          <w:tab w:val="clear" w:pos="720"/>
          <w:tab w:val="left" w:pos="426" w:leader="none"/>
        </w:tabs>
        <w:rPr>
          <w:rFonts w:ascii="Times New Roman" w:hAnsi="Times New Roman"/>
        </w:rPr>
      </w:pPr>
      <w:r>
        <w:rPr>
          <w:rFonts w:eastAsia="Times New Roman"/>
          <w:b/>
          <w:spacing w:val="-2"/>
          <w:sz w:val="28"/>
          <w:szCs w:val="28"/>
          <w:lang w:eastAsia="ar-SA"/>
        </w:rPr>
        <w:t>IV  СМЕРНИЦЕ ЗА СПРОВОЂЕЊЕ ПЛАНА</w:t>
      </w:r>
    </w:p>
    <w:p>
      <w:pPr>
        <w:pStyle w:val="Normal"/>
        <w:tabs>
          <w:tab w:val="clear" w:pos="720"/>
          <w:tab w:val="left" w:pos="426" w:leader="none"/>
        </w:tabs>
        <w:rPr>
          <w:rFonts w:ascii="Times New Roman" w:hAnsi="Times New Roman" w:eastAsia="Times New Roman"/>
          <w:color w:val="FF0000"/>
          <w:spacing w:val="-2"/>
          <w:szCs w:val="24"/>
          <w:lang w:eastAsia="ar-SA"/>
        </w:rPr>
      </w:pPr>
      <w:r>
        <w:rPr>
          <w:rFonts w:eastAsia="Times New Roman"/>
          <w:color w:val="FF0000"/>
          <w:spacing w:val="-2"/>
          <w:szCs w:val="24"/>
          <w:lang w:eastAsia="ar-SA"/>
        </w:rPr>
      </w:r>
    </w:p>
    <w:p>
      <w:pPr>
        <w:pStyle w:val="Normal"/>
        <w:tabs>
          <w:tab w:val="clear" w:pos="720"/>
          <w:tab w:val="left" w:pos="426" w:leader="none"/>
        </w:tabs>
        <w:ind w:firstLine="426"/>
        <w:rPr>
          <w:rFonts w:ascii="Times New Roman" w:hAnsi="Times New Roman"/>
        </w:rPr>
      </w:pP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 </w:t>
      </w:r>
      <w:r>
        <w:rPr>
          <w:bCs/>
          <w:szCs w:val="24"/>
          <w:u w:val="single"/>
          <w:lang w:val="ru-RU"/>
        </w:rPr>
        <w:t xml:space="preserve"> се у целости спроводи ДИРЕКТНО</w:t>
      </w:r>
      <w:r>
        <w:rPr>
          <w:bCs/>
          <w:szCs w:val="24"/>
          <w:lang w:val="ru-RU"/>
        </w:rPr>
        <w:t>.</w:t>
      </w:r>
    </w:p>
    <w:p>
      <w:pPr>
        <w:pStyle w:val="Normal"/>
        <w:tabs>
          <w:tab w:val="clear" w:pos="720"/>
          <w:tab w:val="left" w:pos="426" w:leader="none"/>
        </w:tabs>
        <w:ind w:firstLine="426"/>
        <w:rPr>
          <w:rFonts w:ascii="Times New Roman" w:hAnsi="Times New Roman"/>
          <w:bCs/>
          <w:szCs w:val="24"/>
          <w:lang w:val="ru-RU"/>
        </w:rPr>
      </w:pPr>
      <w:r>
        <w:rPr>
          <w:bCs/>
          <w:szCs w:val="24"/>
          <w:lang w:val="ru-RU"/>
        </w:rPr>
      </w:r>
    </w:p>
    <w:p>
      <w:pPr>
        <w:pStyle w:val="Normal"/>
        <w:tabs>
          <w:tab w:val="clear" w:pos="720"/>
          <w:tab w:val="left" w:pos="426" w:leader="none"/>
        </w:tabs>
        <w:ind w:firstLine="426"/>
        <w:rPr>
          <w:rFonts w:ascii="Times New Roman" w:hAnsi="Times New Roman"/>
        </w:rPr>
      </w:pP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 </w:t>
      </w:r>
      <w:r>
        <w:rPr>
          <w:rFonts w:eastAsia="Times New Roman"/>
          <w:spacing w:val="-2"/>
          <w:szCs w:val="24"/>
          <w:lang w:eastAsia="ar-SA"/>
        </w:rPr>
        <w:t xml:space="preserve"> представља плански основ за:</w:t>
      </w:r>
    </w:p>
    <w:p>
      <w:pPr>
        <w:pStyle w:val="Normal"/>
        <w:tabs>
          <w:tab w:val="clear" w:pos="720"/>
          <w:tab w:val="left" w:pos="426" w:leader="none"/>
        </w:tabs>
        <w:ind w:firstLine="426"/>
        <w:rPr>
          <w:rFonts w:ascii="Times New Roman" w:hAnsi="Times New Roman"/>
        </w:rPr>
      </w:pPr>
      <w:r>
        <w:rPr>
          <w:rFonts w:eastAsia="Times New Roman"/>
          <w:b/>
          <w:spacing w:val="-2"/>
          <w:szCs w:val="24"/>
          <w:lang w:eastAsia="ar-SA"/>
        </w:rPr>
        <w:t>А/ Издавање локацијских услова</w:t>
      </w:r>
    </w:p>
    <w:p>
      <w:pPr>
        <w:pStyle w:val="Normal"/>
        <w:tabs>
          <w:tab w:val="clear" w:pos="720"/>
          <w:tab w:val="left" w:pos="426" w:leader="none"/>
        </w:tabs>
        <w:ind w:firstLine="426"/>
        <w:rPr>
          <w:rFonts w:ascii="Times New Roman" w:hAnsi="Times New Roman"/>
        </w:rPr>
      </w:pPr>
      <w:r>
        <w:rPr>
          <w:rFonts w:eastAsia="Times New Roman"/>
          <w:spacing w:val="-2"/>
          <w:szCs w:val="24"/>
          <w:lang w:eastAsia="ar-SA"/>
        </w:rPr>
        <w:t>Издаје их надлежни орган у складу са одредбама овог Плана. Локацијски услови као основ за добјање грађевинске дозволе за изградњу издају се за цело подручје Плана.</w:t>
      </w:r>
    </w:p>
    <w:p>
      <w:pPr>
        <w:pStyle w:val="Normal"/>
        <w:tabs>
          <w:tab w:val="clear" w:pos="720"/>
          <w:tab w:val="left" w:pos="426" w:leader="none"/>
        </w:tabs>
        <w:ind w:firstLine="426"/>
        <w:rPr>
          <w:rFonts w:ascii="Times New Roman" w:hAnsi="Times New Roman" w:eastAsia="Times New Roman"/>
          <w:b/>
          <w:b/>
          <w:spacing w:val="-2"/>
          <w:szCs w:val="24"/>
          <w:lang w:eastAsia="ar-SA"/>
        </w:rPr>
      </w:pPr>
      <w:r>
        <w:rPr>
          <w:rFonts w:eastAsia="Times New Roman"/>
          <w:b/>
          <w:spacing w:val="-2"/>
          <w:szCs w:val="24"/>
          <w:lang w:eastAsia="ar-SA"/>
        </w:rPr>
      </w:r>
    </w:p>
    <w:p>
      <w:pPr>
        <w:pStyle w:val="Normal"/>
        <w:tabs>
          <w:tab w:val="clear" w:pos="720"/>
          <w:tab w:val="left" w:pos="426" w:leader="none"/>
        </w:tabs>
        <w:ind w:firstLine="426"/>
        <w:rPr>
          <w:rFonts w:ascii="Times New Roman" w:hAnsi="Times New Roman"/>
        </w:rPr>
      </w:pPr>
      <w:r>
        <w:rPr>
          <w:rFonts w:eastAsia="Times New Roman"/>
          <w:b/>
          <w:spacing w:val="-2"/>
          <w:szCs w:val="24"/>
          <w:lang w:eastAsia="ar-SA"/>
        </w:rPr>
        <w:t>Б/ Издавање грађевинске дозволе</w:t>
      </w:r>
    </w:p>
    <w:p>
      <w:pPr>
        <w:pStyle w:val="Normal"/>
        <w:tabs>
          <w:tab w:val="clear" w:pos="720"/>
          <w:tab w:val="left" w:pos="426" w:leader="none"/>
        </w:tabs>
        <w:ind w:firstLine="426"/>
        <w:rPr>
          <w:rFonts w:ascii="Times New Roman" w:hAnsi="Times New Roman"/>
        </w:rPr>
      </w:pPr>
      <w:r>
        <w:rPr>
          <w:rFonts w:eastAsia="Times New Roman"/>
          <w:spacing w:val="-2"/>
          <w:szCs w:val="24"/>
          <w:lang w:eastAsia="ar-SA"/>
        </w:rPr>
        <w:t>Издаје је надлежни ораган на основу техничке документације у складу са одредбама овог Плана.</w:t>
      </w:r>
    </w:p>
    <w:p>
      <w:pPr>
        <w:pStyle w:val="Normal"/>
        <w:tabs>
          <w:tab w:val="clear" w:pos="720"/>
          <w:tab w:val="left" w:pos="426" w:leader="none"/>
        </w:tabs>
        <w:ind w:firstLine="426"/>
        <w:rPr>
          <w:rFonts w:ascii="Times New Roman" w:hAnsi="Times New Roman" w:eastAsia="Times New Roman"/>
          <w:b/>
          <w:b/>
          <w:spacing w:val="-2"/>
          <w:szCs w:val="24"/>
          <w:lang w:eastAsia="ar-SA"/>
        </w:rPr>
      </w:pPr>
      <w:r>
        <w:rPr>
          <w:rFonts w:eastAsia="Times New Roman"/>
          <w:b/>
          <w:spacing w:val="-2"/>
          <w:szCs w:val="24"/>
          <w:lang w:eastAsia="ar-SA"/>
        </w:rPr>
      </w:r>
    </w:p>
    <w:p>
      <w:pPr>
        <w:pStyle w:val="Normal"/>
        <w:tabs>
          <w:tab w:val="clear" w:pos="720"/>
          <w:tab w:val="left" w:pos="426" w:leader="none"/>
        </w:tabs>
        <w:ind w:firstLine="426"/>
        <w:rPr>
          <w:rFonts w:ascii="Times New Roman" w:hAnsi="Times New Roman"/>
        </w:rPr>
      </w:pPr>
      <w:r>
        <w:rPr>
          <w:rFonts w:eastAsia="Times New Roman"/>
          <w:b/>
          <w:spacing w:val="-2"/>
          <w:szCs w:val="24"/>
          <w:lang w:eastAsia="ar-SA"/>
        </w:rPr>
        <w:t>В/ Прибављање земљишта за јавне намене</w:t>
      </w:r>
    </w:p>
    <w:p>
      <w:pPr>
        <w:pStyle w:val="Normal"/>
        <w:tabs>
          <w:tab w:val="clear" w:pos="720"/>
          <w:tab w:val="left" w:pos="426" w:leader="none"/>
        </w:tabs>
        <w:ind w:firstLine="426"/>
        <w:rPr>
          <w:rFonts w:ascii="Times New Roman" w:hAnsi="Times New Roman"/>
        </w:rPr>
      </w:pPr>
      <w:r>
        <w:rPr>
          <w:rFonts w:eastAsia="Times New Roman"/>
          <w:spacing w:val="-2"/>
          <w:szCs w:val="24"/>
          <w:lang w:eastAsia="ar-SA"/>
        </w:rPr>
        <w:t xml:space="preserve">На графичком прилогу бр.2 „Детаљна намена површина са поделом на карактеристичне целине“, дефинисане су површине за јавне намене и земљиште </w:t>
      </w:r>
      <w:r>
        <w:rPr>
          <w:rFonts w:eastAsia="Times New Roman"/>
          <w:spacing w:val="-2"/>
          <w:szCs w:val="24"/>
          <w:lang w:val="sr-RS" w:eastAsia="ar-SA"/>
        </w:rPr>
        <w:t>за Планирану саобраћај</w:t>
      </w:r>
      <w:r>
        <w:rPr>
          <w:rFonts w:eastAsia="Times New Roman"/>
          <w:spacing w:val="-2"/>
          <w:szCs w:val="24"/>
          <w:shd w:fill="auto" w:val="clear"/>
          <w:lang w:val="sr-RS" w:eastAsia="ar-SA"/>
        </w:rPr>
        <w:t>ницу</w:t>
      </w:r>
      <w:r>
        <w:rPr>
          <w:rFonts w:eastAsia="Times New Roman"/>
          <w:spacing w:val="-2"/>
          <w:szCs w:val="24"/>
          <w:shd w:fill="auto" w:val="clear"/>
          <w:lang w:eastAsia="ar-SA"/>
        </w:rPr>
        <w:t>, што</w:t>
      </w:r>
      <w:r>
        <w:rPr>
          <w:rFonts w:eastAsia="Times New Roman"/>
          <w:spacing w:val="-2"/>
          <w:szCs w:val="24"/>
          <w:lang w:eastAsia="ar-SA"/>
        </w:rPr>
        <w:t xml:space="preserve"> је основ за </w:t>
      </w:r>
      <w:r>
        <w:rPr>
          <w:rFonts w:eastAsia="Times New Roman"/>
          <w:spacing w:val="-2"/>
          <w:szCs w:val="24"/>
          <w:lang w:val="sr-RS" w:eastAsia="ar-SA"/>
        </w:rPr>
        <w:t xml:space="preserve">власничко </w:t>
      </w:r>
      <w:r>
        <w:rPr>
          <w:rFonts w:eastAsia="Times New Roman"/>
          <w:spacing w:val="-2"/>
          <w:szCs w:val="24"/>
          <w:lang w:eastAsia="ar-SA"/>
        </w:rPr>
        <w:t>решавање земљишта за његову планску намену, као и спровођење планске регулациј</w:t>
      </w:r>
      <w:r>
        <w:rPr>
          <w:rFonts w:eastAsia="Times New Roman"/>
          <w:spacing w:val="-2"/>
          <w:szCs w:val="24"/>
          <w:lang w:val="sr-RS" w:eastAsia="ar-SA"/>
        </w:rPr>
        <w:t>е</w:t>
      </w:r>
      <w:r>
        <w:rPr>
          <w:rFonts w:eastAsia="Times New Roman"/>
          <w:spacing w:val="-2"/>
          <w:szCs w:val="24"/>
          <w:lang w:eastAsia="ar-SA"/>
        </w:rPr>
        <w:t xml:space="preserve"> и изградњу објеката планиране намене.</w:t>
      </w:r>
    </w:p>
    <w:p>
      <w:pPr>
        <w:pStyle w:val="Normal"/>
        <w:tabs>
          <w:tab w:val="clear" w:pos="720"/>
          <w:tab w:val="left" w:pos="426" w:leader="none"/>
        </w:tabs>
        <w:ind w:firstLine="42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uppressAutoHyphens w:val="false"/>
        <w:ind w:firstLine="426"/>
        <w:rPr>
          <w:rFonts w:ascii="Times New Roman" w:hAnsi="Times New Roman"/>
        </w:rPr>
      </w:pPr>
      <w:r>
        <w:rPr>
          <w:rFonts w:eastAsia="Times New Roman"/>
          <w:spacing w:val="-2"/>
          <w:szCs w:val="24"/>
          <w:lang w:eastAsia="ar-SA"/>
        </w:rPr>
        <w:t>На основу дефинисане границе грађевинског земљишта јавне намене, могућа је парцелација грађевинског земљишта на начин предвиђен Законом.</w:t>
      </w:r>
    </w:p>
    <w:p>
      <w:pPr>
        <w:pStyle w:val="Normal"/>
        <w:tabs>
          <w:tab w:val="clear" w:pos="720"/>
          <w:tab w:val="left" w:pos="426" w:leader="none"/>
        </w:tabs>
        <w:suppressAutoHyphens w:val="false"/>
        <w:ind w:firstLine="426"/>
        <w:rPr>
          <w:rFonts w:ascii="Times New Roman" w:hAnsi="Times New Roman"/>
        </w:rPr>
      </w:pPr>
      <w:r>
        <w:rPr>
          <w:rFonts w:eastAsia="Times New Roman"/>
          <w:spacing w:val="-2"/>
          <w:szCs w:val="24"/>
          <w:lang w:eastAsia="ar-SA"/>
        </w:rPr>
        <w:t>На једној грађевинској парцели могуће је градити више објеката, ако је то условљено технолошким процесом производње.</w:t>
      </w:r>
    </w:p>
    <w:p>
      <w:pPr>
        <w:pStyle w:val="Normal"/>
        <w:tabs>
          <w:tab w:val="clear" w:pos="720"/>
          <w:tab w:val="left" w:pos="426" w:leader="none"/>
        </w:tabs>
        <w:suppressAutoHyphens w:val="false"/>
        <w:ind w:firstLine="426"/>
        <w:rPr>
          <w:rFonts w:ascii="Times New Roman" w:hAnsi="Times New Roman"/>
        </w:rPr>
      </w:pPr>
      <w:r>
        <w:rPr>
          <w:rFonts w:eastAsia="Times New Roman"/>
          <w:spacing w:val="-2"/>
          <w:szCs w:val="24"/>
          <w:lang w:eastAsia="ar-SA"/>
        </w:rPr>
        <w:t>Сваку урбанистичко – пројектантску разраду и изградњу дефинисати у складу са инжењерско-геолошким карактеристикама терена и препорукама за пројектовање које ће се дефинисати на основу детаљних геолошких истраживања за објекте у складу са законом.</w:t>
      </w:r>
    </w:p>
    <w:p>
      <w:pPr>
        <w:pStyle w:val="Normal"/>
        <w:tabs>
          <w:tab w:val="clear" w:pos="720"/>
          <w:tab w:val="left" w:pos="426" w:leader="none"/>
        </w:tabs>
        <w:suppressAutoHyphens w:val="false"/>
        <w:ind w:firstLine="42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uppressAutoHyphens w:val="false"/>
        <w:ind w:firstLine="426"/>
        <w:rPr>
          <w:rFonts w:ascii="Times New Roman" w:hAnsi="Times New Roman"/>
        </w:rPr>
      </w:pPr>
      <w:r>
        <w:rPr>
          <w:rFonts w:eastAsia="Times New Roman"/>
          <w:spacing w:val="-2"/>
          <w:szCs w:val="24"/>
          <w:lang w:eastAsia="ar-SA"/>
        </w:rPr>
        <w:t>Неће се сматрати изменом Плана евентуалне корекције аналитичко геодетских елемената хоризонталних кривина пл</w:t>
      </w:r>
      <w:r>
        <w:rPr>
          <w:rFonts w:eastAsia="Times New Roman" w:cs="Times New Roman"/>
          <w:bCs/>
          <w:color w:val="auto"/>
          <w:spacing w:val="-2"/>
          <w:kern w:val="0"/>
          <w:sz w:val="24"/>
          <w:szCs w:val="24"/>
          <w:lang w:val="sr-RS" w:eastAsia="ar-SA" w:bidi="ar-SA"/>
        </w:rPr>
        <w:t>аниране саобраћајнице</w:t>
      </w:r>
      <w:r>
        <w:rPr>
          <w:rFonts w:eastAsia="Times New Roman"/>
          <w:spacing w:val="-2"/>
          <w:szCs w:val="24"/>
          <w:lang w:eastAsia="ar-SA"/>
        </w:rPr>
        <w:t>, приликом израде пројектне документације саобраћајнице.</w:t>
      </w:r>
    </w:p>
    <w:p>
      <w:pPr>
        <w:pStyle w:val="Normal"/>
        <w:spacing w:before="0" w:after="160"/>
        <w:jc w:val="left"/>
        <w:rPr>
          <w:rFonts w:ascii="Times New Roman" w:hAnsi="Times New Roman" w:eastAsia="Times New Roman"/>
          <w:color w:val="FF0000"/>
          <w:spacing w:val="-2"/>
          <w:szCs w:val="24"/>
          <w:lang w:eastAsia="ar-SA"/>
        </w:rPr>
      </w:pPr>
      <w:r>
        <w:rPr>
          <w:rFonts w:eastAsia="Times New Roman"/>
          <w:color w:val="FF0000"/>
          <w:spacing w:val="-2"/>
          <w:szCs w:val="24"/>
          <w:lang w:eastAsia="ar-SA"/>
        </w:rPr>
      </w:r>
      <w:r>
        <w:br w:type="page"/>
      </w:r>
    </w:p>
    <w:p>
      <w:pPr>
        <w:pStyle w:val="Normal"/>
        <w:tabs>
          <w:tab w:val="clear" w:pos="720"/>
          <w:tab w:val="left" w:pos="426" w:leader="none"/>
        </w:tabs>
        <w:spacing w:lineRule="auto" w:line="276"/>
        <w:rPr>
          <w:rFonts w:ascii="Times New Roman" w:hAnsi="Times New Roman"/>
        </w:rPr>
      </w:pPr>
      <w:r>
        <w:rPr>
          <w:rFonts w:eastAsia="Times New Roman"/>
          <w:b/>
          <w:spacing w:val="-2"/>
          <w:sz w:val="28"/>
          <w:szCs w:val="28"/>
          <w:lang w:eastAsia="ar-SA"/>
        </w:rPr>
        <w:t>V ЗАВРШНЕ ОДРЕДБЕ</w:t>
      </w:r>
    </w:p>
    <w:p>
      <w:pPr>
        <w:pStyle w:val="Normal"/>
        <w:tabs>
          <w:tab w:val="clear" w:pos="720"/>
          <w:tab w:val="left" w:pos="426" w:leader="none"/>
        </w:tabs>
        <w:spacing w:lineRule="auto" w:line="276"/>
        <w:rPr>
          <w:rFonts w:ascii="Times New Roman" w:hAnsi="Times New Roman" w:eastAsia="Times New Roman"/>
          <w:spacing w:val="-2"/>
          <w:szCs w:val="24"/>
          <w:lang w:eastAsia="ar-SA"/>
        </w:rPr>
      </w:pPr>
      <w:r>
        <w:rPr>
          <w:rFonts w:eastAsia="Times New Roman"/>
          <w:spacing w:val="-2"/>
          <w:szCs w:val="24"/>
          <w:lang w:eastAsia="ar-SA"/>
        </w:rPr>
      </w:r>
    </w:p>
    <w:p>
      <w:pPr>
        <w:pStyle w:val="Normal"/>
        <w:widowControl w:val="false"/>
        <w:rPr>
          <w:rFonts w:ascii="Times New Roman" w:hAnsi="Times New Roman"/>
        </w:rPr>
      </w:pP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w:t>
      </w:r>
      <w:r>
        <w:rPr>
          <w:bCs/>
          <w:szCs w:val="24"/>
        </w:rPr>
        <w:t xml:space="preserve"> </w:t>
      </w:r>
      <w:r>
        <w:rPr>
          <w:rFonts w:eastAsia="Times New Roman"/>
          <w:spacing w:val="-2"/>
          <w:szCs w:val="24"/>
          <w:lang w:eastAsia="ar-SA"/>
        </w:rPr>
        <w:t>оверен је потписом председника и печатом Скупштине општине Ражањ и урађен је у четири аналогна и т</w:t>
      </w:r>
      <w:r>
        <w:rPr>
          <w:rFonts w:eastAsia="Times New Roman"/>
          <w:spacing w:val="-2"/>
          <w:szCs w:val="24"/>
          <w:lang w:val="sr-RS" w:eastAsia="ar-SA"/>
        </w:rPr>
        <w:t>р</w:t>
      </w:r>
      <w:r>
        <w:rPr>
          <w:rFonts w:eastAsia="Times New Roman"/>
          <w:spacing w:val="-2"/>
          <w:szCs w:val="24"/>
          <w:lang w:eastAsia="ar-SA"/>
        </w:rPr>
        <w:t xml:space="preserve">и дигитална примерака, од којих се три примерка достављају општинској управи Општине Ражањ – </w:t>
      </w:r>
      <w:r>
        <w:rPr>
          <w:bCs/>
          <w:szCs w:val="24"/>
        </w:rPr>
        <w:t>Одељење за друштвене делатности, општу управу, правне и заједничке послове Одсек за планирање, урбанизам, изградњу и озакоњење</w:t>
      </w:r>
      <w:r>
        <w:rPr>
          <w:b/>
          <w:szCs w:val="24"/>
        </w:rPr>
        <w:t xml:space="preserve"> </w:t>
      </w:r>
      <w:r>
        <w:rPr>
          <w:rFonts w:eastAsia="Times New Roman"/>
          <w:spacing w:val="-2"/>
          <w:szCs w:val="24"/>
          <w:lang w:eastAsia="ar-SA"/>
        </w:rPr>
        <w:t>и један примерак обрађивачу Плана.</w:t>
      </w:r>
    </w:p>
    <w:p>
      <w:pPr>
        <w:pStyle w:val="Normal"/>
        <w:tabs>
          <w:tab w:val="clear" w:pos="720"/>
          <w:tab w:val="left" w:pos="426" w:leader="none"/>
        </w:tabs>
        <w:spacing w:lineRule="auto" w:line="276"/>
        <w:ind w:firstLine="42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ind w:firstLine="426"/>
        <w:rPr>
          <w:rFonts w:ascii="Times New Roman" w:hAnsi="Times New Roman"/>
        </w:rPr>
      </w:pPr>
      <w:r>
        <w:rPr>
          <w:rFonts w:eastAsia="Times New Roman"/>
          <w:spacing w:val="-2"/>
          <w:szCs w:val="24"/>
          <w:lang w:eastAsia="ar-SA"/>
        </w:rPr>
        <w:t xml:space="preserve">Права на непосредан увид у донет </w:t>
      </w: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 </w:t>
      </w:r>
      <w:r>
        <w:rPr>
          <w:rFonts w:eastAsia="Times New Roman"/>
          <w:spacing w:val="-2"/>
          <w:szCs w:val="24"/>
          <w:lang w:eastAsia="ar-SA"/>
        </w:rPr>
        <w:t xml:space="preserve"> имају правна и физичка лица на начин и под условима које ближе прописује министар надлежан за послове урбанизма.</w:t>
      </w:r>
    </w:p>
    <w:p>
      <w:pPr>
        <w:pStyle w:val="Normal"/>
        <w:tabs>
          <w:tab w:val="clear" w:pos="720"/>
          <w:tab w:val="left" w:pos="426" w:leader="none"/>
        </w:tabs>
        <w:spacing w:lineRule="auto" w:line="276"/>
        <w:ind w:firstLine="426"/>
        <w:rPr>
          <w:rFonts w:ascii="Times New Roman" w:hAnsi="Times New Roman"/>
          <w:bCs/>
          <w:szCs w:val="24"/>
          <w:lang w:val="ru-RU"/>
        </w:rPr>
      </w:pPr>
      <w:r>
        <w:rPr>
          <w:bCs/>
          <w:szCs w:val="24"/>
          <w:lang w:val="ru-RU"/>
        </w:rPr>
      </w:r>
    </w:p>
    <w:p>
      <w:pPr>
        <w:pStyle w:val="Normal"/>
        <w:tabs>
          <w:tab w:val="clear" w:pos="720"/>
          <w:tab w:val="left" w:pos="426" w:leader="none"/>
        </w:tabs>
        <w:spacing w:lineRule="auto" w:line="276"/>
        <w:ind w:firstLine="426"/>
        <w:rPr>
          <w:rFonts w:ascii="Times New Roman" w:hAnsi="Times New Roman"/>
        </w:rPr>
      </w:pPr>
      <w:r>
        <w:rPr>
          <w:bCs/>
          <w:szCs w:val="24"/>
          <w:lang w:val="ru-RU"/>
        </w:rPr>
        <w:t>План детаљне регулације за постројењ</w:t>
      </w:r>
      <w:r>
        <w:rPr>
          <w:bCs/>
          <w:szCs w:val="24"/>
        </w:rPr>
        <w:t>е</w:t>
      </w:r>
      <w:r>
        <w:rPr>
          <w:bCs/>
          <w:szCs w:val="24"/>
          <w:lang w:val="ru-RU"/>
        </w:rPr>
        <w:t xml:space="preserve"> за пречишћавање оптадних вода насеља Витошевац </w:t>
      </w:r>
      <w:r>
        <w:rPr>
          <w:rFonts w:eastAsia="Times New Roman"/>
          <w:spacing w:val="-2"/>
          <w:szCs w:val="24"/>
          <w:lang w:eastAsia="ar-SA"/>
        </w:rPr>
        <w:t xml:space="preserve"> ступа на снагу осмог дана од дана објављивања у „Службеном листу Општине Ражањ“.</w:t>
      </w:r>
    </w:p>
    <w:p>
      <w:pPr>
        <w:pStyle w:val="Normal"/>
        <w:tabs>
          <w:tab w:val="clear" w:pos="720"/>
          <w:tab w:val="left" w:pos="426" w:leader="none"/>
        </w:tabs>
        <w:spacing w:lineRule="auto" w:line="276"/>
        <w:ind w:firstLine="42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ind w:firstLine="42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ind w:firstLine="426"/>
        <w:jc w:val="center"/>
        <w:rPr>
          <w:rFonts w:ascii="Times New Roman" w:hAnsi="Times New Roman"/>
        </w:rPr>
      </w:pPr>
      <w:r>
        <w:rPr>
          <w:rFonts w:eastAsia="Times New Roman"/>
          <w:b/>
          <w:spacing w:val="-2"/>
          <w:szCs w:val="24"/>
          <w:lang w:eastAsia="ar-SA"/>
        </w:rPr>
        <w:t>СКУПШТИНА ОПШТИНЕ РАЖАЊ</w:t>
      </w:r>
    </w:p>
    <w:p>
      <w:pPr>
        <w:pStyle w:val="Normal"/>
        <w:tabs>
          <w:tab w:val="clear" w:pos="720"/>
          <w:tab w:val="left" w:pos="426" w:leader="none"/>
        </w:tabs>
        <w:spacing w:lineRule="auto" w:line="276"/>
        <w:ind w:firstLine="426"/>
        <w:jc w:val="center"/>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ind w:firstLine="426"/>
        <w:jc w:val="center"/>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ind w:firstLine="426"/>
        <w:jc w:val="center"/>
        <w:rPr>
          <w:rFonts w:eastAsia="Times New Roman"/>
          <w:spacing w:val="-2"/>
          <w:szCs w:val="24"/>
          <w:lang w:eastAsia="ar-SA"/>
        </w:rPr>
      </w:pPr>
      <w:r>
        <w:rPr>
          <w:rFonts w:eastAsia="Times New Roman"/>
          <w:spacing w:val="-2"/>
          <w:szCs w:val="24"/>
          <w:lang w:eastAsia="ar-SA"/>
        </w:rPr>
      </w:r>
    </w:p>
    <w:p>
      <w:pPr>
        <w:pStyle w:val="Normal"/>
        <w:tabs>
          <w:tab w:val="clear" w:pos="720"/>
          <w:tab w:val="left" w:pos="7088" w:leader="none"/>
        </w:tabs>
        <w:spacing w:lineRule="auto" w:line="276"/>
        <w:rPr>
          <w:szCs w:val="24"/>
        </w:rPr>
      </w:pPr>
      <w:r>
        <w:rPr>
          <w:rFonts w:eastAsia="Times New Roman"/>
          <w:spacing w:val="-2"/>
          <w:szCs w:val="24"/>
          <w:lang w:eastAsia="ar-SA"/>
        </w:rPr>
        <w:t xml:space="preserve">Број:                                                              </w:t>
      </w:r>
      <w:r>
        <w:rPr>
          <w:szCs w:val="24"/>
        </w:rPr>
        <w:t xml:space="preserve">                                          </w:t>
      </w:r>
      <w:r>
        <w:rPr>
          <w:rFonts w:eastAsia="Times New Roman"/>
          <w:bCs/>
          <w:spacing w:val="-2"/>
          <w:szCs w:val="24"/>
          <w:lang w:eastAsia="ar-SA"/>
        </w:rPr>
        <w:t>ПРЕДСЕДНИК</w:t>
      </w:r>
    </w:p>
    <w:p>
      <w:pPr>
        <w:pStyle w:val="Normal"/>
        <w:tabs>
          <w:tab w:val="clear" w:pos="720"/>
          <w:tab w:val="left" w:pos="7088" w:leader="none"/>
        </w:tabs>
        <w:spacing w:lineRule="auto" w:line="276"/>
        <w:rPr>
          <w:szCs w:val="24"/>
        </w:rPr>
      </w:pPr>
      <w:r>
        <w:rPr>
          <w:rFonts w:eastAsia="Times New Roman"/>
          <w:bCs/>
          <w:spacing w:val="-2"/>
          <w:szCs w:val="24"/>
          <w:lang w:eastAsia="ar-SA"/>
        </w:rPr>
        <w:t>Датум:                                                                                            СКУПШТИНЕ ОПШТИНЕ РАЖАЊ</w:t>
      </w:r>
    </w:p>
    <w:p>
      <w:pPr>
        <w:pStyle w:val="Normal"/>
        <w:tabs>
          <w:tab w:val="clear" w:pos="720"/>
          <w:tab w:val="left" w:pos="426" w:leader="none"/>
        </w:tabs>
        <w:spacing w:lineRule="auto" w:line="276"/>
        <w:jc w:val="left"/>
        <w:rPr>
          <w:szCs w:val="24"/>
        </w:rPr>
      </w:pPr>
      <w:r>
        <w:rPr>
          <w:szCs w:val="24"/>
        </w:rPr>
      </w:r>
    </w:p>
    <w:p>
      <w:pPr>
        <w:pStyle w:val="Normal"/>
        <w:tabs>
          <w:tab w:val="clear" w:pos="720"/>
          <w:tab w:val="left" w:pos="426" w:leader="none"/>
        </w:tabs>
        <w:spacing w:lineRule="auto" w:line="259" w:before="0" w:after="160"/>
        <w:ind w:firstLine="426"/>
        <w:jc w:val="right"/>
        <w:rPr>
          <w:szCs w:val="24"/>
        </w:rPr>
      </w:pPr>
      <w:r>
        <w:rPr>
          <w:rFonts w:eastAsia="Times New Roman"/>
          <w:bCs/>
          <w:spacing w:val="-2"/>
          <w:szCs w:val="24"/>
          <w:lang w:val="sr-RS" w:eastAsia="ar-SA"/>
        </w:rPr>
        <w:t>--------</w:t>
      </w:r>
      <w:r>
        <w:rPr>
          <w:rFonts w:eastAsia="Times New Roman"/>
          <w:bCs/>
          <w:spacing w:val="-2"/>
          <w:szCs w:val="24"/>
          <w:lang w:eastAsia="ar-SA"/>
        </w:rPr>
        <w:t>-----------------------------------------</w:t>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color w:val="FF0000"/>
          <w:spacing w:val="-2"/>
          <w:szCs w:val="24"/>
          <w:lang w:eastAsia="ar-SA"/>
        </w:rPr>
      </w:pPr>
      <w:r>
        <w:rPr>
          <w:rFonts w:eastAsia="Times New Roman"/>
          <w:b/>
          <w:color w:val="FF0000"/>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spacing w:lineRule="auto" w:line="259" w:before="0" w:after="160"/>
        <w:jc w:val="left"/>
        <w:rPr>
          <w:rFonts w:ascii="Times New Roman" w:hAnsi="Times New Roman" w:eastAsia="Times New Roman"/>
          <w:b/>
          <w:b/>
          <w:spacing w:val="-2"/>
          <w:szCs w:val="24"/>
          <w:lang w:eastAsia="ar-SA"/>
        </w:rPr>
      </w:pPr>
      <w:r>
        <w:rPr>
          <w:rFonts w:eastAsia="Times New Roman"/>
          <w:b/>
          <w:spacing w:val="-2"/>
          <w:szCs w:val="24"/>
          <w:lang w:eastAsia="ar-SA"/>
        </w:rPr>
      </w:r>
    </w:p>
    <w:p>
      <w:pPr>
        <w:pStyle w:val="Normal"/>
        <w:tabs>
          <w:tab w:val="clear" w:pos="720"/>
          <w:tab w:val="left" w:pos="426" w:leader="none"/>
        </w:tabs>
        <w:spacing w:lineRule="auto" w:line="276"/>
        <w:rPr>
          <w:rFonts w:ascii="Times New Roman" w:hAnsi="Times New Roman"/>
        </w:rPr>
      </w:pPr>
      <w:r>
        <w:rPr/>
      </w:r>
    </w:p>
    <w:p>
      <w:pPr>
        <w:pStyle w:val="Normal"/>
        <w:tabs>
          <w:tab w:val="clear" w:pos="720"/>
          <w:tab w:val="left" w:pos="426" w:leader="none"/>
        </w:tabs>
        <w:spacing w:lineRule="auto" w:line="276"/>
        <w:rPr>
          <w:rFonts w:ascii="Times New Roman" w:hAnsi="Times New Roman"/>
        </w:rPr>
      </w:pPr>
      <w:r>
        <w:rPr/>
      </w:r>
    </w:p>
    <w:p>
      <w:pPr>
        <w:pStyle w:val="Normal"/>
        <w:tabs>
          <w:tab w:val="clear" w:pos="720"/>
          <w:tab w:val="left" w:pos="426" w:leader="none"/>
        </w:tabs>
        <w:spacing w:lineRule="auto" w:line="276"/>
        <w:rPr>
          <w:rFonts w:ascii="Times New Roman" w:hAnsi="Times New Roman"/>
        </w:rPr>
      </w:pPr>
      <w:r>
        <w:rPr/>
      </w:r>
    </w:p>
    <w:p>
      <w:pPr>
        <w:pStyle w:val="Normal"/>
        <w:tabs>
          <w:tab w:val="clear" w:pos="720"/>
          <w:tab w:val="left" w:pos="426" w:leader="none"/>
        </w:tabs>
        <w:spacing w:lineRule="auto" w:line="276"/>
        <w:rPr>
          <w:rFonts w:ascii="Times New Roman" w:hAnsi="Times New Roman"/>
        </w:rPr>
      </w:pPr>
      <w:r>
        <w:rPr/>
      </w:r>
    </w:p>
    <w:p>
      <w:pPr>
        <w:pStyle w:val="Normal"/>
        <w:tabs>
          <w:tab w:val="clear" w:pos="720"/>
          <w:tab w:val="left" w:pos="426" w:leader="none"/>
        </w:tabs>
        <w:spacing w:lineRule="auto" w:line="276"/>
        <w:rPr>
          <w:rFonts w:ascii="Times New Roman" w:hAnsi="Times New Roman"/>
        </w:rPr>
      </w:pPr>
      <w:r>
        <w:rPr/>
      </w:r>
    </w:p>
    <w:p>
      <w:pPr>
        <w:pStyle w:val="Normal"/>
        <w:tabs>
          <w:tab w:val="clear" w:pos="720"/>
          <w:tab w:val="left" w:pos="426" w:leader="none"/>
        </w:tabs>
        <w:spacing w:lineRule="auto" w:line="276"/>
        <w:rPr>
          <w:rFonts w:ascii="Times New Roman" w:hAnsi="Times New Roman"/>
        </w:rPr>
      </w:pPr>
      <w:r>
        <w:rPr>
          <w:rFonts w:eastAsia="Times New Roman"/>
          <w:b/>
          <w:spacing w:val="-2"/>
          <w:sz w:val="28"/>
          <w:szCs w:val="28"/>
          <w:lang w:eastAsia="ar-SA"/>
        </w:rPr>
        <w:t>VI  ГРАФИЧКИ ДЕО ПЛАНА</w:t>
      </w:r>
    </w:p>
    <w:p>
      <w:pPr>
        <w:pStyle w:val="Normal"/>
        <w:tabs>
          <w:tab w:val="clear" w:pos="720"/>
          <w:tab w:val="left" w:pos="426" w:leader="none"/>
        </w:tabs>
        <w:spacing w:lineRule="auto" w:line="276"/>
        <w:rPr>
          <w:rFonts w:ascii="Times New Roman" w:hAnsi="Times New Roman" w:eastAsia="Times New Roman"/>
          <w:color w:val="FF0000"/>
          <w:spacing w:val="-2"/>
          <w:szCs w:val="24"/>
          <w:lang w:eastAsia="ar-SA"/>
        </w:rPr>
      </w:pPr>
      <w:r>
        <w:rPr>
          <w:rFonts w:eastAsia="Times New Roman"/>
          <w:color w:val="FF0000"/>
          <w:spacing w:val="-2"/>
          <w:szCs w:val="24"/>
          <w:lang w:eastAsia="ar-SA"/>
        </w:rPr>
      </w:r>
    </w:p>
    <w:p>
      <w:pPr>
        <w:pStyle w:val="Normal"/>
        <w:tabs>
          <w:tab w:val="clear" w:pos="720"/>
          <w:tab w:val="left" w:pos="426" w:leader="none"/>
        </w:tabs>
        <w:spacing w:lineRule="auto" w:line="276"/>
        <w:rPr>
          <w:rFonts w:ascii="Times New Roman" w:hAnsi="Times New Roman" w:eastAsia="Times New Roman"/>
          <w:spacing w:val="-2"/>
          <w:szCs w:val="24"/>
          <w:lang w:eastAsia="ar-SA"/>
        </w:rPr>
      </w:pPr>
      <w:r>
        <w:rPr>
          <w:rFonts w:eastAsia="Times New Roman"/>
          <w:spacing w:val="-2"/>
          <w:szCs w:val="24"/>
          <w:lang w:eastAsia="ar-SA"/>
        </w:rPr>
      </w:r>
    </w:p>
    <w:tbl>
      <w:tblPr>
        <w:tblStyle w:val="TableGrid"/>
        <w:tblW w:w="1013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312"/>
        <w:gridCol w:w="7470"/>
        <w:gridCol w:w="1356"/>
      </w:tblGrid>
      <w:tr>
        <w:trPr>
          <w:trHeight w:val="446" w:hRule="atLeast"/>
        </w:trPr>
        <w:tc>
          <w:tcPr>
            <w:tcW w:w="10138" w:type="dxa"/>
            <w:gridSpan w:val="3"/>
            <w:tcBorders>
              <w:top w:val="nil"/>
              <w:left w:val="nil"/>
              <w:bottom w:val="nil"/>
              <w:right w:val="nil"/>
            </w:tcBorders>
            <w:vAlign w:val="center"/>
          </w:tcPr>
          <w:p>
            <w:pPr>
              <w:pStyle w:val="Normal"/>
              <w:widowControl w:val="false"/>
              <w:tabs>
                <w:tab w:val="clear" w:pos="720"/>
                <w:tab w:val="left" w:pos="0" w:leader="none"/>
              </w:tabs>
              <w:suppressAutoHyphens w:val="true"/>
              <w:spacing w:lineRule="auto" w:line="276" w:before="0" w:after="0"/>
              <w:ind w:left="-709" w:hanging="0"/>
              <w:jc w:val="center"/>
              <w:rPr>
                <w:rFonts w:ascii="Times New Roman" w:hAnsi="Times New Roman" w:eastAsia="Times New Roman"/>
                <w:b/>
                <w:b/>
                <w:i/>
                <w:i/>
                <w:spacing w:val="-2"/>
                <w:szCs w:val="24"/>
                <w:lang w:eastAsia="ar-SA"/>
              </w:rPr>
            </w:pPr>
            <w:r>
              <w:rPr>
                <w:rFonts w:eastAsia="Times New Roman" w:cs="Times New Roman"/>
                <w:b/>
                <w:i/>
                <w:spacing w:val="-2"/>
                <w:kern w:val="0"/>
                <w:szCs w:val="24"/>
                <w:lang w:val="en-US" w:eastAsia="ar-SA" w:bidi="ar-SA"/>
              </w:rPr>
              <w:t>П О С Т О Ј Е Ћ Е   С Т А Њ Е</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бр.01</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Граница Плана са постојећом наменом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0138" w:type="dxa"/>
            <w:gridSpan w:val="3"/>
            <w:tcBorders>
              <w:top w:val="nil"/>
              <w:left w:val="nil"/>
              <w:bottom w:val="nil"/>
              <w:right w:val="nil"/>
            </w:tcBorders>
            <w:vAlign w:val="center"/>
          </w:tcPr>
          <w:p>
            <w:pPr>
              <w:pStyle w:val="Normal"/>
              <w:widowControl w:val="false"/>
              <w:tabs>
                <w:tab w:val="clear" w:pos="720"/>
                <w:tab w:val="left" w:pos="0" w:leader="none"/>
              </w:tabs>
              <w:suppressAutoHyphens w:val="true"/>
              <w:spacing w:lineRule="auto" w:line="276" w:before="0" w:after="0"/>
              <w:ind w:left="-709" w:hanging="0"/>
              <w:jc w:val="center"/>
              <w:rPr>
                <w:rFonts w:ascii="Times New Roman" w:hAnsi="Times New Roman" w:eastAsia="Times New Roman"/>
                <w:b/>
                <w:b/>
                <w:i/>
                <w:i/>
                <w:spacing w:val="-2"/>
                <w:szCs w:val="24"/>
                <w:lang w:eastAsia="ar-SA"/>
              </w:rPr>
            </w:pPr>
            <w:r>
              <w:rPr>
                <w:rFonts w:eastAsia="Times New Roman" w:cs="Times New Roman"/>
                <w:b/>
                <w:i/>
                <w:spacing w:val="-2"/>
                <w:kern w:val="0"/>
                <w:szCs w:val="24"/>
                <w:lang w:val="en-US" w:eastAsia="ar-SA" w:bidi="ar-SA"/>
              </w:rPr>
              <w:t>П Л А Н С К А   Р Е Ш Е Њ А</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бр.1</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Граница Плана на катастарско-топографској подлози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бр.2</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Детаљна намена површина са поделом на карактеристичне целине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бр.3</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 xml:space="preserve">Регулационо-нивелациони план са аналитичко-геодетским </w:t>
            </w:r>
          </w:p>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елементима за обележавање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spacing w:val="-2"/>
                <w:szCs w:val="24"/>
                <w:lang w:eastAsia="ar-SA"/>
              </w:rPr>
            </w:r>
          </w:p>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бр.4</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План мреже и објеката инфраструктуре – електроенергетика и телекомуникација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spacing w:val="-2"/>
                <w:szCs w:val="24"/>
                <w:lang w:eastAsia="ar-SA"/>
              </w:rPr>
            </w:r>
          </w:p>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бр.5</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План мреже и објеката инфраструктуре – хидротехничка инфраструктура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бр.6</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План мреже и објеката инфраструктуре – синхрон план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tbl>
            <w:tblPr>
              <w:tblStyle w:val="TableGrid"/>
              <w:tblW w:w="1013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312"/>
              <w:gridCol w:w="7470"/>
              <w:gridCol w:w="1356"/>
            </w:tblGrid>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ind w:right="-140" w:hanging="115"/>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Лист бр.7</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План за спровођење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w:t>
                  </w:r>
                  <w:r>
                    <w:rPr>
                      <w:rFonts w:eastAsia="Times New Roman" w:cs="Times New Roman"/>
                      <w:spacing w:val="-2"/>
                      <w:kern w:val="0"/>
                      <w:szCs w:val="24"/>
                      <w:lang w:val="sr-RS" w:eastAsia="ar-SA" w:bidi="ar-SA"/>
                    </w:rPr>
                    <w:t>10500</w:t>
                  </w:r>
                </w:p>
              </w:tc>
            </w:tr>
          </w:tbl>
          <w:p>
            <w:pPr>
              <w:pStyle w:val="Normal"/>
              <w:widowControl w:val="false"/>
              <w:tabs>
                <w:tab w:val="clear" w:pos="720"/>
                <w:tab w:val="left" w:pos="426" w:leader="none"/>
              </w:tabs>
              <w:spacing w:lineRule="auto" w:line="276"/>
              <w:jc w:val="left"/>
              <w:rPr>
                <w:rFonts w:ascii="Times New Roman" w:hAnsi="Times New Roman" w:eastAsia="Times New Roman"/>
                <w:spacing w:val="-2"/>
                <w:szCs w:val="24"/>
                <w:lang w:eastAsia="ar-SA"/>
              </w:rPr>
            </w:pPr>
            <w:r>
              <w:rPr>
                <w:rFonts w:eastAsia="Times New Roman"/>
                <w:spacing w:val="-2"/>
                <w:szCs w:val="24"/>
                <w:lang w:eastAsia="ar-SA"/>
              </w:rPr>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План спровођењ</w:t>
            </w:r>
            <w:r>
              <w:rPr>
                <w:rFonts w:eastAsia="Times New Roman" w:cs="Times New Roman"/>
                <w:spacing w:val="-2"/>
                <w:kern w:val="0"/>
                <w:szCs w:val="24"/>
                <w:lang w:val="sr-RS" w:eastAsia="ar-SA" w:bidi="ar-SA"/>
              </w:rPr>
              <w:t>а</w:t>
            </w:r>
            <w:r>
              <w:rPr>
                <w:rFonts w:eastAsia="Times New Roman" w:cs="Times New Roman"/>
                <w:spacing w:val="-2"/>
                <w:kern w:val="0"/>
                <w:szCs w:val="24"/>
                <w:lang w:val="en-US" w:eastAsia="ar-SA" w:bidi="ar-SA"/>
              </w:rPr>
              <w:t xml:space="preserve">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r>
        <w:trPr>
          <w:trHeight w:val="438" w:hRule="atLeast"/>
        </w:trPr>
        <w:tc>
          <w:tcPr>
            <w:tcW w:w="1312"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ind w:right="-140" w:hanging="115"/>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 xml:space="preserve">  </w:t>
            </w:r>
            <w:r>
              <w:rPr>
                <w:rFonts w:eastAsia="Times New Roman" w:cs="Times New Roman"/>
                <w:spacing w:val="-2"/>
                <w:kern w:val="0"/>
                <w:szCs w:val="24"/>
                <w:lang w:val="en-US" w:eastAsia="ar-SA" w:bidi="ar-SA"/>
              </w:rPr>
              <w:t>Лист бр.</w:t>
            </w:r>
            <w:r>
              <w:rPr>
                <w:rFonts w:eastAsia="Times New Roman" w:cs="Times New Roman"/>
                <w:color w:val="auto"/>
                <w:spacing w:val="-2"/>
                <w:kern w:val="0"/>
                <w:sz w:val="24"/>
                <w:szCs w:val="24"/>
                <w:lang w:val="en-US" w:eastAsia="ar-SA" w:bidi="ar-SA"/>
              </w:rPr>
              <w:t>8</w:t>
            </w:r>
          </w:p>
        </w:tc>
        <w:tc>
          <w:tcPr>
            <w:tcW w:w="7470"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left"/>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П</w:t>
            </w:r>
            <w:r>
              <w:rPr>
                <w:rFonts w:eastAsia="Times New Roman" w:cs="Times New Roman"/>
                <w:color w:val="auto"/>
                <w:spacing w:val="-2"/>
                <w:kern w:val="0"/>
                <w:sz w:val="24"/>
                <w:szCs w:val="24"/>
                <w:lang w:val="sr-RS" w:eastAsia="ar-SA" w:bidi="ar-SA"/>
              </w:rPr>
              <w:t>опречни профили планиране саобраћајнице</w:t>
            </w:r>
            <w:r>
              <w:rPr>
                <w:rFonts w:eastAsia="Times New Roman" w:cs="Times New Roman"/>
                <w:spacing w:val="-2"/>
                <w:kern w:val="0"/>
                <w:szCs w:val="24"/>
                <w:lang w:val="en-US" w:eastAsia="ar-SA" w:bidi="ar-SA"/>
              </w:rPr>
              <w:t xml:space="preserve"> .............................................</w:t>
            </w:r>
          </w:p>
        </w:tc>
        <w:tc>
          <w:tcPr>
            <w:tcW w:w="1356" w:type="dxa"/>
            <w:tcBorders>
              <w:top w:val="nil"/>
              <w:left w:val="nil"/>
              <w:bottom w:val="nil"/>
              <w:right w:val="nil"/>
            </w:tcBorders>
            <w:vAlign w:val="center"/>
          </w:tcPr>
          <w:p>
            <w:pPr>
              <w:pStyle w:val="Normal"/>
              <w:widowControl w:val="false"/>
              <w:tabs>
                <w:tab w:val="clear" w:pos="720"/>
                <w:tab w:val="left" w:pos="426" w:leader="none"/>
              </w:tabs>
              <w:suppressAutoHyphens w:val="true"/>
              <w:spacing w:lineRule="auto" w:line="276" w:before="0" w:after="0"/>
              <w:jc w:val="center"/>
              <w:rPr>
                <w:rFonts w:ascii="Times New Roman" w:hAnsi="Times New Roman" w:eastAsia="Times New Roman"/>
                <w:spacing w:val="-2"/>
                <w:szCs w:val="24"/>
                <w:lang w:eastAsia="ar-SA"/>
              </w:rPr>
            </w:pPr>
            <w:r>
              <w:rPr>
                <w:rFonts w:eastAsia="Times New Roman" w:cs="Times New Roman"/>
                <w:spacing w:val="-2"/>
                <w:kern w:val="0"/>
                <w:szCs w:val="24"/>
                <w:lang w:val="en-US" w:eastAsia="ar-SA" w:bidi="ar-SA"/>
              </w:rPr>
              <w:t>Р=1:</w:t>
            </w:r>
            <w:r>
              <w:rPr>
                <w:rFonts w:eastAsia="Times New Roman" w:cs="Times New Roman"/>
                <w:spacing w:val="-2"/>
                <w:kern w:val="0"/>
                <w:szCs w:val="24"/>
                <w:lang w:val="sr-RS" w:eastAsia="ar-SA" w:bidi="ar-SA"/>
              </w:rPr>
              <w:t>10</w:t>
            </w:r>
            <w:r>
              <w:rPr>
                <w:rFonts w:eastAsia="Times New Roman" w:cs="Times New Roman"/>
                <w:spacing w:val="-2"/>
                <w:kern w:val="0"/>
                <w:szCs w:val="24"/>
                <w:lang w:val="en-US" w:eastAsia="ar-SA" w:bidi="ar-SA"/>
              </w:rPr>
              <w:t>00</w:t>
            </w:r>
          </w:p>
        </w:tc>
      </w:tr>
    </w:tbl>
    <w:p>
      <w:pPr>
        <w:pStyle w:val="Normal"/>
        <w:tabs>
          <w:tab w:val="clear" w:pos="720"/>
          <w:tab w:val="left" w:pos="426" w:leader="none"/>
        </w:tabs>
        <w:spacing w:lineRule="auto" w:line="276" w:before="0" w:after="160"/>
        <w:jc w:val="left"/>
        <w:rPr>
          <w:rFonts w:ascii="Times New Roman" w:hAnsi="Times New Roman" w:eastAsia="Times New Roman"/>
          <w:spacing w:val="-2"/>
          <w:szCs w:val="24"/>
          <w:lang w:eastAsia="ar-SA"/>
        </w:rPr>
      </w:pPr>
      <w:r>
        <w:rPr>
          <w:rFonts w:eastAsia="Times New Roman"/>
          <w:spacing w:val="-2"/>
          <w:szCs w:val="24"/>
          <w:lang w:eastAsia="ar-SA"/>
        </w:rPr>
      </w:r>
      <w:r>
        <w:br w:type="page"/>
      </w:r>
    </w:p>
    <w:p>
      <w:pPr>
        <w:pStyle w:val="Normal"/>
        <w:tabs>
          <w:tab w:val="clear" w:pos="720"/>
          <w:tab w:val="left" w:pos="426" w:leader="none"/>
        </w:tabs>
        <w:rPr>
          <w:rFonts w:ascii="Times New Roman" w:hAnsi="Times New Roman"/>
        </w:rPr>
      </w:pPr>
      <w:r>
        <w:rPr>
          <w:rFonts w:eastAsia="Times New Roman"/>
          <w:b/>
          <w:spacing w:val="-2"/>
          <w:sz w:val="28"/>
          <w:szCs w:val="28"/>
          <w:lang w:eastAsia="ar-SA"/>
        </w:rPr>
        <w:t>VII  ДОКУМЕНТАЦИОНИ ДЕО ПЛАНА</w:t>
      </w:r>
    </w:p>
    <w:p>
      <w:pPr>
        <w:pStyle w:val="Normal"/>
        <w:tabs>
          <w:tab w:val="clear" w:pos="720"/>
          <w:tab w:val="left" w:pos="426" w:leader="none"/>
        </w:tabs>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rPr>
          <w:rFonts w:ascii="Times New Roman" w:hAnsi="Times New Roman"/>
        </w:rPr>
      </w:pPr>
      <w:r>
        <w:rPr>
          <w:rFonts w:eastAsia="Times New Roman"/>
          <w:b/>
          <w:spacing w:val="-2"/>
          <w:szCs w:val="24"/>
          <w:lang w:eastAsia="ar-SA"/>
        </w:rPr>
        <w:t>Одлука о изради Плана</w:t>
      </w:r>
    </w:p>
    <w:p>
      <w:pPr>
        <w:pStyle w:val="ListParagraph"/>
        <w:numPr>
          <w:ilvl w:val="0"/>
          <w:numId w:val="23"/>
        </w:numPr>
        <w:suppressAutoHyphens w:val="false"/>
        <w:rPr>
          <w:rFonts w:ascii="Times New Roman" w:hAnsi="Times New Roman"/>
        </w:rPr>
      </w:pPr>
      <w:r>
        <w:rPr/>
        <w:t xml:space="preserve">Одлука о изради </w:t>
      </w:r>
      <w:r>
        <w:rPr>
          <w:bCs/>
          <w:lang w:val="ru-RU"/>
        </w:rPr>
        <w:t>Плана детаљне регулације за постројењ</w:t>
      </w:r>
      <w:r>
        <w:rPr>
          <w:bCs/>
        </w:rPr>
        <w:t>е</w:t>
      </w:r>
      <w:r>
        <w:rPr>
          <w:bCs/>
          <w:lang w:val="ru-RU"/>
        </w:rPr>
        <w:t xml:space="preserve"> за пречишћавање оптадних вода насеља Витошевац</w:t>
      </w:r>
      <w:r>
        <w:rPr/>
        <w:t xml:space="preserve"> </w:t>
      </w:r>
      <w:r>
        <w:rPr>
          <w:lang w:val="sr-RS"/>
        </w:rPr>
        <w:t xml:space="preserve">коју је донела </w:t>
      </w:r>
      <w:r>
        <w:rPr/>
        <w:t>Скупштин</w:t>
      </w:r>
      <w:r>
        <w:rPr>
          <w:lang w:val="sr-RS"/>
        </w:rPr>
        <w:t>а</w:t>
      </w:r>
      <w:r>
        <w:rPr/>
        <w:t xml:space="preserve"> o</w:t>
      </w:r>
      <w:r>
        <w:rPr>
          <w:lang w:val="sr-RS"/>
        </w:rPr>
        <w:t xml:space="preserve">пштине Ражањ, </w:t>
      </w:r>
      <w:r>
        <w:rPr/>
        <w:t>бр.</w:t>
      </w:r>
      <w:r>
        <w:rPr>
          <w:lang w:val="sr-RS"/>
        </w:rPr>
        <w:t>350</w:t>
      </w:r>
      <w:r>
        <w:rPr/>
        <w:t>-</w:t>
      </w:r>
      <w:r>
        <w:rPr>
          <w:lang w:val="sr-RS"/>
        </w:rPr>
        <w:t>6/23-11</w:t>
      </w:r>
      <w:r>
        <w:rPr/>
        <w:t xml:space="preserve"> дана </w:t>
      </w:r>
      <w:r>
        <w:rPr>
          <w:lang w:val="sr-RS"/>
        </w:rPr>
        <w:t>28.02.2023</w:t>
      </w:r>
      <w:r>
        <w:rPr/>
        <w:t>.године</w:t>
      </w:r>
      <w:r>
        <w:rPr>
          <w:lang w:val="sr-RS"/>
        </w:rPr>
        <w:t xml:space="preserve"> (</w:t>
      </w:r>
      <w:r>
        <w:rPr/>
        <w:t>,,Службен</w:t>
      </w:r>
      <w:r>
        <w:rPr>
          <w:lang w:val="sr-RS"/>
        </w:rPr>
        <w:t>и</w:t>
      </w:r>
      <w:r>
        <w:rPr/>
        <w:t xml:space="preserve"> лист </w:t>
      </w:r>
      <w:r>
        <w:rPr>
          <w:lang w:val="sr-RS"/>
        </w:rPr>
        <w:t>општине Ражањ", број 3/2023)</w:t>
      </w:r>
      <w:r>
        <w:rPr/>
        <w:t>;</w:t>
      </w:r>
    </w:p>
    <w:p>
      <w:pPr>
        <w:pStyle w:val="Normal"/>
        <w:numPr>
          <w:ilvl w:val="0"/>
          <w:numId w:val="23"/>
        </w:numPr>
        <w:suppressAutoHyphens w:val="false"/>
        <w:rPr>
          <w:rFonts w:ascii="Times New Roman" w:hAnsi="Times New Roman"/>
        </w:rPr>
      </w:pPr>
      <w:r>
        <w:rPr>
          <w:szCs w:val="24"/>
        </w:rPr>
        <w:t xml:space="preserve">Одлука о приступању изради Стратешке процене утицаја на животну средину </w:t>
      </w:r>
      <w:r>
        <w:rPr>
          <w:szCs w:val="24"/>
          <w:lang w:val="ru-RU"/>
        </w:rPr>
        <w:t xml:space="preserve">Плана детаљне регулације </w:t>
      </w:r>
      <w:r>
        <w:rPr>
          <w:szCs w:val="24"/>
        </w:rPr>
        <w:t xml:space="preserve">за изградњу постројења за пречишћавање оптадних вода </w:t>
      </w:r>
      <w:r>
        <w:rPr>
          <w:szCs w:val="24"/>
          <w:lang w:val="ru-RU"/>
        </w:rPr>
        <w:t xml:space="preserve">насеља </w:t>
      </w:r>
      <w:r>
        <w:rPr>
          <w:bCs/>
          <w:szCs w:val="24"/>
          <w:lang w:val="ru-RU"/>
        </w:rPr>
        <w:t>Витошевац</w:t>
      </w:r>
      <w:r>
        <w:rPr>
          <w:szCs w:val="24"/>
        </w:rPr>
        <w:t xml:space="preserve"> („Службени лист општине Ражањ“,број број </w:t>
      </w:r>
      <w:r>
        <w:rPr>
          <w:szCs w:val="24"/>
          <w:lang w:val="sr-RS"/>
        </w:rPr>
        <w:t>3</w:t>
      </w:r>
      <w:r>
        <w:rPr>
          <w:szCs w:val="24"/>
        </w:rPr>
        <w:t>/</w:t>
      </w:r>
      <w:r>
        <w:rPr>
          <w:szCs w:val="24"/>
          <w:lang w:val="sr-RS"/>
        </w:rPr>
        <w:t>2023</w:t>
      </w:r>
      <w:r>
        <w:rPr>
          <w:szCs w:val="24"/>
        </w:rPr>
        <w:t>), од 2</w:t>
      </w:r>
      <w:r>
        <w:rPr>
          <w:szCs w:val="24"/>
          <w:lang w:val="sr-RS"/>
        </w:rPr>
        <w:t>8</w:t>
      </w:r>
      <w:r>
        <w:rPr>
          <w:szCs w:val="24"/>
        </w:rPr>
        <w:t>.0</w:t>
      </w:r>
      <w:r>
        <w:rPr>
          <w:szCs w:val="24"/>
          <w:lang w:val="sr-RS"/>
        </w:rPr>
        <w:t>2</w:t>
      </w:r>
      <w:r>
        <w:rPr>
          <w:szCs w:val="24"/>
        </w:rPr>
        <w:t>.202</w:t>
      </w:r>
      <w:r>
        <w:rPr>
          <w:szCs w:val="24"/>
          <w:lang w:val="sr-RS"/>
        </w:rPr>
        <w:t>3</w:t>
      </w:r>
      <w:r>
        <w:rPr>
          <w:szCs w:val="24"/>
        </w:rPr>
        <w:t>.године</w:t>
      </w:r>
    </w:p>
    <w:p>
      <w:pPr>
        <w:pStyle w:val="Normal"/>
        <w:tabs>
          <w:tab w:val="clear" w:pos="720"/>
          <w:tab w:val="left" w:pos="426" w:leader="none"/>
        </w:tabs>
        <w:spacing w:lineRule="auto" w:line="276"/>
        <w:rPr>
          <w:rFonts w:ascii="Times New Roman" w:hAnsi="Times New Roman" w:eastAsia="Times New Roman"/>
          <w:spacing w:val="-2"/>
          <w:szCs w:val="24"/>
          <w:lang w:eastAsia="ar-SA"/>
        </w:rPr>
      </w:pPr>
      <w:r>
        <w:rPr>
          <w:rFonts w:eastAsia="Times New Roman"/>
          <w:spacing w:val="-2"/>
          <w:szCs w:val="24"/>
          <w:lang w:eastAsia="ar-SA"/>
        </w:rPr>
      </w:r>
    </w:p>
    <w:p>
      <w:pPr>
        <w:pStyle w:val="Normal"/>
        <w:tabs>
          <w:tab w:val="clear" w:pos="720"/>
          <w:tab w:val="left" w:pos="426" w:leader="none"/>
        </w:tabs>
        <w:spacing w:lineRule="auto" w:line="276"/>
        <w:rPr>
          <w:rFonts w:eastAsia="Times New Roman"/>
          <w:b/>
          <w:b/>
          <w:spacing w:val="-2"/>
          <w:szCs w:val="24"/>
          <w:lang w:val="sr-RS" w:eastAsia="ar-SA"/>
        </w:rPr>
      </w:pPr>
      <w:r>
        <w:rPr>
          <w:rFonts w:eastAsia="Times New Roman"/>
          <w:b/>
          <w:spacing w:val="-2"/>
          <w:szCs w:val="24"/>
          <w:lang w:val="sr-RS" w:eastAsia="ar-SA"/>
        </w:rPr>
        <w:t>Извод из планских докумената вишег реда</w:t>
      </w:r>
    </w:p>
    <w:p>
      <w:pPr>
        <w:pStyle w:val="ListParagraph"/>
        <w:suppressAutoHyphens w:val="false"/>
        <w:ind w:left="0" w:hanging="0"/>
        <w:rPr>
          <w:rFonts w:ascii="Times New Roman" w:hAnsi="Times New Roman"/>
        </w:rPr>
      </w:pPr>
      <w:r>
        <w:rPr>
          <w:rFonts w:eastAsia="Times New Roman"/>
          <w:b/>
          <w:bCs/>
          <w:spacing w:val="-2"/>
          <w:lang w:eastAsia="ar-SA"/>
        </w:rPr>
        <w:t>- Извод</w:t>
      </w:r>
      <w:r>
        <w:rPr>
          <w:rFonts w:eastAsia="Times New Roman"/>
          <w:bCs/>
          <w:spacing w:val="-2"/>
          <w:lang w:eastAsia="ar-SA"/>
        </w:rPr>
        <w:t xml:space="preserve"> из </w:t>
      </w:r>
      <w:r>
        <w:rPr>
          <w:lang w:val="sr-RS"/>
        </w:rPr>
        <w:t>Просторног плана општине Ражањ</w:t>
      </w:r>
      <w:r>
        <w:rPr/>
        <w:t xml:space="preserve"> (,,Службени лист </w:t>
      </w:r>
      <w:r>
        <w:rPr>
          <w:lang w:val="sr-RS"/>
        </w:rPr>
        <w:t>општине Ражањ</w:t>
      </w:r>
      <w:r>
        <w:rPr/>
        <w:t xml:space="preserve">“ број </w:t>
      </w:r>
      <w:r>
        <w:rPr>
          <w:lang w:val="sr-RS"/>
        </w:rPr>
        <w:t>4</w:t>
      </w:r>
      <w:r>
        <w:rPr/>
        <w:t>/</w:t>
      </w:r>
      <w:r>
        <w:rPr>
          <w:lang w:val="sr-RS"/>
        </w:rPr>
        <w:t>20</w:t>
      </w:r>
      <w:r>
        <w:rPr/>
        <w:t>1</w:t>
      </w:r>
      <w:r>
        <w:rPr>
          <w:lang w:val="sr-RS"/>
        </w:rPr>
        <w:t>2 и 1/2021 и 12/23</w:t>
      </w:r>
      <w:r>
        <w:rPr/>
        <w:t>)</w:t>
      </w:r>
      <w:r>
        <w:rPr>
          <w:lang w:val="sr-RS"/>
        </w:rPr>
        <w:t>.</w:t>
      </w:r>
    </w:p>
    <w:p>
      <w:pPr>
        <w:pStyle w:val="Normal"/>
        <w:tabs>
          <w:tab w:val="clear" w:pos="720"/>
          <w:tab w:val="left" w:pos="426" w:leader="none"/>
        </w:tabs>
        <w:spacing w:lineRule="auto" w:line="276"/>
        <w:rPr>
          <w:rFonts w:eastAsia="Times New Roman"/>
          <w:b/>
          <w:b/>
          <w:bCs/>
          <w:spacing w:val="-2"/>
          <w:szCs w:val="24"/>
          <w:lang w:eastAsia="ar-SA"/>
        </w:rPr>
      </w:pPr>
      <w:r>
        <w:rPr>
          <w:rFonts w:eastAsia="Times New Roman"/>
          <w:b/>
          <w:bCs/>
          <w:spacing w:val="-2"/>
          <w:szCs w:val="24"/>
          <w:lang w:eastAsia="ar-SA"/>
        </w:rPr>
      </w:r>
    </w:p>
    <w:p>
      <w:pPr>
        <w:pStyle w:val="Normal"/>
        <w:tabs>
          <w:tab w:val="clear" w:pos="720"/>
          <w:tab w:val="left" w:pos="426" w:leader="none"/>
        </w:tabs>
        <w:spacing w:lineRule="auto" w:line="276"/>
        <w:rPr>
          <w:rFonts w:ascii="Times New Roman" w:hAnsi="Times New Roman"/>
        </w:rPr>
      </w:pPr>
      <w:r>
        <w:rPr>
          <w:rFonts w:eastAsia="Times New Roman"/>
          <w:b/>
          <w:bCs/>
          <w:spacing w:val="-2"/>
          <w:szCs w:val="24"/>
          <w:lang w:eastAsia="ar-SA"/>
        </w:rPr>
        <w:t>Катастарско-топографски План</w:t>
      </w:r>
      <w:r>
        <w:rPr>
          <w:rFonts w:eastAsia="Times New Roman"/>
          <w:bCs/>
          <w:spacing w:val="-2"/>
          <w:szCs w:val="24"/>
          <w:lang w:eastAsia="ar-SA"/>
        </w:rPr>
        <w:t xml:space="preserve"> – потписан</w:t>
      </w:r>
    </w:p>
    <w:p>
      <w:pPr>
        <w:pStyle w:val="Normal"/>
        <w:tabs>
          <w:tab w:val="clear" w:pos="720"/>
          <w:tab w:val="left" w:pos="426" w:leader="none"/>
        </w:tabs>
        <w:spacing w:lineRule="auto" w:line="276"/>
        <w:rPr>
          <w:rFonts w:ascii="Times New Roman" w:hAnsi="Times New Roman" w:eastAsia="Times New Roman"/>
          <w:bCs/>
          <w:spacing w:val="-2"/>
          <w:szCs w:val="24"/>
          <w:lang w:eastAsia="ar-SA"/>
        </w:rPr>
      </w:pPr>
      <w:r>
        <w:rPr>
          <w:rFonts w:eastAsia="Times New Roman"/>
          <w:bCs/>
          <w:spacing w:val="-2"/>
          <w:szCs w:val="24"/>
          <w:lang w:eastAsia="ar-SA"/>
        </w:rPr>
      </w:r>
    </w:p>
    <w:p>
      <w:pPr>
        <w:pStyle w:val="Normal"/>
        <w:tabs>
          <w:tab w:val="clear" w:pos="720"/>
          <w:tab w:val="left" w:pos="426" w:leader="none"/>
        </w:tabs>
        <w:spacing w:lineRule="auto" w:line="276"/>
        <w:rPr>
          <w:rFonts w:ascii="Times New Roman" w:hAnsi="Times New Roman"/>
        </w:rPr>
      </w:pPr>
      <w:r>
        <w:rPr>
          <w:rFonts w:eastAsia="Times New Roman"/>
          <w:b/>
          <w:bCs/>
          <w:spacing w:val="-2"/>
          <w:szCs w:val="24"/>
          <w:lang w:eastAsia="ar-SA"/>
        </w:rPr>
        <w:t>Елаборат за Рани јавни увид</w:t>
      </w:r>
    </w:p>
    <w:p>
      <w:pPr>
        <w:pStyle w:val="Normal"/>
        <w:tabs>
          <w:tab w:val="clear" w:pos="720"/>
          <w:tab w:val="left" w:pos="426" w:leader="none"/>
        </w:tabs>
        <w:spacing w:lineRule="auto" w:line="276"/>
        <w:rPr>
          <w:rFonts w:ascii="Times New Roman" w:hAnsi="Times New Roman" w:eastAsia="Times New Roman"/>
          <w:bCs/>
          <w:spacing w:val="-2"/>
          <w:szCs w:val="24"/>
          <w:lang w:eastAsia="ar-SA"/>
        </w:rPr>
      </w:pPr>
      <w:r>
        <w:rPr>
          <w:rFonts w:eastAsia="Times New Roman"/>
          <w:bCs/>
          <w:spacing w:val="-2"/>
          <w:szCs w:val="24"/>
          <w:lang w:eastAsia="ar-SA"/>
        </w:rPr>
      </w:r>
    </w:p>
    <w:p>
      <w:pPr>
        <w:pStyle w:val="Normal"/>
        <w:tabs>
          <w:tab w:val="clear" w:pos="720"/>
          <w:tab w:val="left" w:pos="426" w:leader="none"/>
        </w:tabs>
        <w:spacing w:lineRule="auto" w:line="276"/>
        <w:rPr>
          <w:rFonts w:ascii="Times New Roman" w:hAnsi="Times New Roman"/>
        </w:rPr>
      </w:pPr>
      <w:r>
        <w:rPr>
          <w:rFonts w:eastAsia="Times New Roman"/>
          <w:b/>
          <w:bCs/>
          <w:spacing w:val="-2"/>
          <w:szCs w:val="24"/>
          <w:lang w:eastAsia="ar-SA"/>
        </w:rPr>
        <w:t>Извештаји Комисије за планове</w:t>
      </w:r>
    </w:p>
    <w:p>
      <w:pPr>
        <w:pStyle w:val="Normal"/>
        <w:tabs>
          <w:tab w:val="clear" w:pos="720"/>
          <w:tab w:val="left" w:pos="426" w:leader="none"/>
        </w:tabs>
        <w:spacing w:lineRule="auto" w:line="276"/>
        <w:rPr>
          <w:rFonts w:ascii="Times New Roman" w:hAnsi="Times New Roman"/>
        </w:rPr>
      </w:pPr>
      <w:r>
        <w:rPr>
          <w:rFonts w:eastAsia="Times New Roman"/>
          <w:bCs/>
          <w:spacing w:val="-2"/>
          <w:szCs w:val="24"/>
          <w:lang w:eastAsia="ar-SA"/>
        </w:rPr>
        <w:t xml:space="preserve">- Извештај о обављеном раном јавном увиду, број: </w:t>
      </w:r>
      <w:r>
        <w:rPr>
          <w:rFonts w:eastAsia="Times New Roman"/>
          <w:bCs/>
          <w:spacing w:val="-2"/>
          <w:szCs w:val="24"/>
          <w:lang w:val="sr-RS" w:eastAsia="ar-SA"/>
        </w:rPr>
        <w:t>350-65</w:t>
      </w:r>
      <w:r>
        <w:rPr>
          <w:rFonts w:eastAsia="Times New Roman"/>
          <w:bCs/>
          <w:spacing w:val="-2"/>
          <w:szCs w:val="24"/>
          <w:lang w:eastAsia="ar-SA"/>
        </w:rPr>
        <w:t>/</w:t>
      </w:r>
      <w:r>
        <w:rPr>
          <w:rFonts w:eastAsia="Times New Roman"/>
          <w:bCs/>
          <w:spacing w:val="-2"/>
          <w:szCs w:val="24"/>
          <w:lang w:val="sr-RS" w:eastAsia="ar-SA"/>
        </w:rPr>
        <w:t>20</w:t>
      </w:r>
      <w:r>
        <w:rPr>
          <w:rFonts w:eastAsia="Times New Roman"/>
          <w:bCs/>
          <w:spacing w:val="-2"/>
          <w:szCs w:val="24"/>
          <w:lang w:eastAsia="ar-SA"/>
        </w:rPr>
        <w:t>2</w:t>
      </w:r>
      <w:r>
        <w:rPr>
          <w:rFonts w:eastAsia="Times New Roman"/>
          <w:bCs/>
          <w:spacing w:val="-2"/>
          <w:szCs w:val="24"/>
          <w:lang w:val="sr-RS" w:eastAsia="ar-SA"/>
        </w:rPr>
        <w:t>3</w:t>
      </w:r>
      <w:r>
        <w:rPr>
          <w:rFonts w:eastAsia="Times New Roman"/>
          <w:bCs/>
          <w:spacing w:val="-2"/>
          <w:szCs w:val="24"/>
          <w:lang w:eastAsia="ar-SA"/>
        </w:rPr>
        <w:t>-</w:t>
      </w:r>
      <w:r>
        <w:rPr>
          <w:rFonts w:eastAsia="Times New Roman"/>
          <w:bCs/>
          <w:spacing w:val="-2"/>
          <w:szCs w:val="24"/>
          <w:lang w:val="sr-RS" w:eastAsia="ar-SA"/>
        </w:rPr>
        <w:t>02</w:t>
      </w:r>
      <w:r>
        <w:rPr>
          <w:rFonts w:eastAsia="Times New Roman"/>
          <w:bCs/>
          <w:spacing w:val="-2"/>
          <w:szCs w:val="24"/>
          <w:lang w:eastAsia="ar-SA"/>
        </w:rPr>
        <w:t xml:space="preserve">  од </w:t>
      </w:r>
      <w:r>
        <w:rPr>
          <w:rFonts w:eastAsia="Times New Roman"/>
          <w:bCs/>
          <w:spacing w:val="-2"/>
          <w:szCs w:val="24"/>
          <w:lang w:val="sr-RS" w:eastAsia="ar-SA"/>
        </w:rPr>
        <w:t>17</w:t>
      </w:r>
      <w:r>
        <w:rPr>
          <w:rFonts w:eastAsia="Times New Roman"/>
          <w:bCs/>
          <w:spacing w:val="-2"/>
          <w:szCs w:val="24"/>
          <w:lang w:eastAsia="ar-SA"/>
        </w:rPr>
        <w:t>.11.202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426" w:leader="none"/>
        </w:tabs>
        <w:spacing w:lineRule="auto" w:line="276"/>
        <w:rPr>
          <w:rFonts w:ascii="Times New Roman" w:hAnsi="Times New Roman" w:eastAsia="Times New Roman"/>
          <w:bCs/>
          <w:spacing w:val="-2"/>
          <w:szCs w:val="24"/>
          <w:lang w:val="sr-RS" w:eastAsia="ar-SA"/>
        </w:rPr>
      </w:pPr>
      <w:r>
        <w:rPr>
          <w:rFonts w:eastAsia="Times New Roman"/>
          <w:bCs/>
          <w:spacing w:val="-2"/>
          <w:szCs w:val="24"/>
          <w:lang w:val="sr-RS" w:eastAsia="ar-SA"/>
        </w:rPr>
      </w:r>
    </w:p>
    <w:p>
      <w:pPr>
        <w:pStyle w:val="Normal"/>
        <w:tabs>
          <w:tab w:val="clear" w:pos="720"/>
          <w:tab w:val="left" w:pos="426" w:leader="none"/>
        </w:tabs>
        <w:spacing w:lineRule="auto" w:line="276"/>
        <w:rPr>
          <w:rFonts w:ascii="Times New Roman" w:hAnsi="Times New Roman"/>
        </w:rPr>
      </w:pPr>
      <w:r>
        <w:rPr>
          <w:rFonts w:eastAsia="Times New Roman"/>
          <w:b/>
          <w:bCs/>
          <w:spacing w:val="-2"/>
          <w:szCs w:val="24"/>
          <w:lang w:eastAsia="ar-SA"/>
        </w:rPr>
        <w:t>Оглашавање</w:t>
      </w:r>
      <w:r>
        <w:rPr>
          <w:rFonts w:eastAsia="Times New Roman"/>
          <w:bCs/>
          <w:spacing w:val="-2"/>
          <w:szCs w:val="24"/>
          <w:lang w:eastAsia="ar-SA"/>
        </w:rPr>
        <w:t>:</w:t>
      </w:r>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xml:space="preserve">- Оглас за </w:t>
      </w:r>
      <w:r>
        <w:rPr>
          <w:rFonts w:eastAsia="Times New Roman"/>
          <w:b/>
          <w:bCs/>
          <w:spacing w:val="-2"/>
          <w:szCs w:val="24"/>
          <w:lang w:eastAsia="ar-SA"/>
        </w:rPr>
        <w:t>рани јавни увид</w:t>
      </w:r>
    </w:p>
    <w:p>
      <w:pPr>
        <w:pStyle w:val="Normal"/>
        <w:tabs>
          <w:tab w:val="clear" w:pos="720"/>
          <w:tab w:val="left" w:pos="142" w:leader="none"/>
        </w:tabs>
        <w:spacing w:lineRule="auto" w:line="276"/>
        <w:rPr>
          <w:rFonts w:ascii="Times New Roman" w:hAnsi="Times New Roman" w:eastAsia="Times New Roman"/>
          <w:bCs/>
          <w:spacing w:val="-2"/>
          <w:szCs w:val="24"/>
          <w:lang w:eastAsia="ar-SA"/>
        </w:rPr>
      </w:pPr>
      <w:r>
        <w:rPr>
          <w:rFonts w:eastAsia="Times New Roman"/>
          <w:bCs/>
          <w:spacing w:val="-2"/>
          <w:szCs w:val="24"/>
          <w:lang w:eastAsia="ar-SA"/>
        </w:rPr>
      </w:r>
    </w:p>
    <w:p>
      <w:pPr>
        <w:pStyle w:val="Normal"/>
        <w:tabs>
          <w:tab w:val="clear" w:pos="720"/>
          <w:tab w:val="left" w:pos="142" w:leader="none"/>
        </w:tabs>
        <w:spacing w:lineRule="auto" w:line="276"/>
        <w:rPr>
          <w:rFonts w:ascii="Times New Roman" w:hAnsi="Times New Roman"/>
        </w:rPr>
      </w:pPr>
      <w:r>
        <w:rPr>
          <w:rFonts w:eastAsia="Times New Roman"/>
          <w:b/>
          <w:bCs/>
          <w:spacing w:val="-2"/>
          <w:szCs w:val="24"/>
          <w:lang w:eastAsia="ar-SA"/>
        </w:rPr>
        <w:t>Услови и мишљења надлежних институција</w:t>
      </w:r>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xml:space="preserve">- „Електродистрибуција Србије“ д.о.о. Београд, огранак Крушевац, бр. </w:t>
      </w:r>
      <w:r>
        <w:rPr>
          <w:rFonts w:eastAsia="Times New Roman"/>
          <w:bCs/>
          <w:spacing w:val="-2"/>
          <w:szCs w:val="24"/>
          <w:lang w:val="sr-RS" w:eastAsia="ar-SA"/>
        </w:rPr>
        <w:t>2540400471355-2</w:t>
      </w:r>
      <w:r>
        <w:rPr>
          <w:rFonts w:eastAsia="Times New Roman"/>
          <w:bCs/>
          <w:spacing w:val="-2"/>
          <w:szCs w:val="24"/>
          <w:lang w:eastAsia="ar-SA"/>
        </w:rPr>
        <w:t xml:space="preserve"> од </w:t>
      </w:r>
      <w:r>
        <w:rPr>
          <w:rFonts w:eastAsia="Times New Roman"/>
          <w:bCs/>
          <w:spacing w:val="-2"/>
          <w:szCs w:val="24"/>
          <w:lang w:val="sr-RS" w:eastAsia="ar-SA"/>
        </w:rPr>
        <w:t>27</w:t>
      </w:r>
      <w:r>
        <w:rPr>
          <w:rFonts w:eastAsia="Times New Roman"/>
          <w:bCs/>
          <w:spacing w:val="-2"/>
          <w:szCs w:val="24"/>
          <w:lang w:eastAsia="ar-SA"/>
        </w:rPr>
        <w:t>.1</w:t>
      </w:r>
      <w:r>
        <w:rPr>
          <w:rFonts w:eastAsia="Times New Roman"/>
          <w:bCs/>
          <w:spacing w:val="-2"/>
          <w:szCs w:val="24"/>
          <w:lang w:val="sr-RS" w:eastAsia="ar-SA"/>
        </w:rPr>
        <w:t>0</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Завод за заштиту споменика културе Ниш,   број: 1</w:t>
      </w:r>
      <w:r>
        <w:rPr>
          <w:rFonts w:eastAsia="Times New Roman"/>
          <w:bCs/>
          <w:spacing w:val="-2"/>
          <w:szCs w:val="24"/>
          <w:lang w:val="sr-RS" w:eastAsia="ar-SA"/>
        </w:rPr>
        <w:t>871</w:t>
      </w:r>
      <w:r>
        <w:rPr>
          <w:rFonts w:eastAsia="Times New Roman"/>
          <w:bCs/>
          <w:spacing w:val="-2"/>
          <w:szCs w:val="24"/>
          <w:lang w:eastAsia="ar-SA"/>
        </w:rPr>
        <w:t xml:space="preserve">/2 -02  од </w:t>
      </w:r>
      <w:r>
        <w:rPr>
          <w:rFonts w:eastAsia="Times New Roman"/>
          <w:bCs/>
          <w:spacing w:val="-2"/>
          <w:szCs w:val="24"/>
          <w:lang w:val="sr-RS" w:eastAsia="ar-SA"/>
        </w:rPr>
        <w:t>01</w:t>
      </w:r>
      <w:r>
        <w:rPr>
          <w:rFonts w:eastAsia="Times New Roman"/>
          <w:bCs/>
          <w:spacing w:val="-2"/>
          <w:szCs w:val="24"/>
          <w:lang w:eastAsia="ar-SA"/>
        </w:rPr>
        <w:t>.11.202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xml:space="preserve">- Телеком Србија, број: </w:t>
      </w:r>
      <w:r>
        <w:rPr>
          <w:rFonts w:eastAsia="Times New Roman"/>
          <w:bCs/>
          <w:spacing w:val="-2"/>
          <w:szCs w:val="24"/>
          <w:lang w:val="sr-RS" w:eastAsia="ar-SA"/>
        </w:rPr>
        <w:t>463068</w:t>
      </w:r>
      <w:r>
        <w:rPr>
          <w:rFonts w:eastAsia="Times New Roman"/>
          <w:bCs/>
          <w:spacing w:val="-2"/>
          <w:szCs w:val="24"/>
          <w:lang w:eastAsia="ar-SA"/>
        </w:rPr>
        <w:t>/2-202</w:t>
      </w:r>
      <w:r>
        <w:rPr>
          <w:rFonts w:eastAsia="Times New Roman"/>
          <w:bCs/>
          <w:spacing w:val="-2"/>
          <w:szCs w:val="24"/>
          <w:lang w:val="sr-RS" w:eastAsia="ar-SA"/>
        </w:rPr>
        <w:t>3</w:t>
      </w:r>
      <w:r>
        <w:rPr>
          <w:rFonts w:eastAsia="Times New Roman"/>
          <w:bCs/>
          <w:spacing w:val="-2"/>
          <w:szCs w:val="24"/>
          <w:lang w:eastAsia="ar-SA"/>
        </w:rPr>
        <w:t xml:space="preserve">  од </w:t>
      </w:r>
      <w:r>
        <w:rPr>
          <w:rFonts w:eastAsia="Times New Roman"/>
          <w:bCs/>
          <w:spacing w:val="-2"/>
          <w:szCs w:val="24"/>
          <w:lang w:val="sr-RS" w:eastAsia="ar-SA"/>
        </w:rPr>
        <w:t>01</w:t>
      </w:r>
      <w:r>
        <w:rPr>
          <w:rFonts w:eastAsia="Times New Roman"/>
          <w:bCs/>
          <w:spacing w:val="-2"/>
          <w:szCs w:val="24"/>
          <w:lang w:eastAsia="ar-SA"/>
        </w:rPr>
        <w:t>.11.202</w:t>
      </w:r>
      <w:r>
        <w:rPr>
          <w:rFonts w:eastAsia="Times New Roman"/>
          <w:bCs/>
          <w:spacing w:val="-2"/>
          <w:szCs w:val="24"/>
          <w:lang w:val="sr-RS" w:eastAsia="ar-SA"/>
        </w:rPr>
        <w:t>3</w:t>
      </w:r>
      <w:r>
        <w:rPr>
          <w:rFonts w:eastAsia="Times New Roman"/>
          <w:bCs/>
          <w:spacing w:val="-2"/>
          <w:szCs w:val="24"/>
          <w:lang w:eastAsia="ar-SA"/>
        </w:rPr>
        <w:t>. године;</w:t>
      </w:r>
      <w:bookmarkStart w:id="60" w:name="_Hlk128999600"/>
      <w:bookmarkEnd w:id="60"/>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ЈП „Комуналац“</w:t>
      </w:r>
      <w:r>
        <w:rPr>
          <w:rFonts w:eastAsia="Times New Roman"/>
          <w:bCs/>
          <w:spacing w:val="-2"/>
          <w:szCs w:val="24"/>
          <w:lang w:val="sr-RS" w:eastAsia="ar-SA"/>
        </w:rPr>
        <w:t xml:space="preserve"> Ражањ</w:t>
      </w:r>
      <w:r>
        <w:rPr>
          <w:rFonts w:eastAsia="Times New Roman"/>
          <w:bCs/>
          <w:spacing w:val="-2"/>
          <w:szCs w:val="24"/>
          <w:lang w:eastAsia="ar-SA"/>
        </w:rPr>
        <w:t xml:space="preserve">, број: </w:t>
      </w:r>
      <w:r>
        <w:rPr>
          <w:rFonts w:eastAsia="Times New Roman"/>
          <w:bCs/>
          <w:spacing w:val="-2"/>
          <w:szCs w:val="24"/>
          <w:lang w:val="sr-RS" w:eastAsia="ar-SA"/>
        </w:rPr>
        <w:t>328/</w:t>
      </w:r>
      <w:r>
        <w:rPr>
          <w:rFonts w:eastAsia="Times New Roman"/>
          <w:bCs/>
          <w:spacing w:val="-2"/>
          <w:szCs w:val="24"/>
          <w:lang w:eastAsia="ar-SA"/>
        </w:rPr>
        <w:t xml:space="preserve">2023 од </w:t>
      </w:r>
      <w:r>
        <w:rPr>
          <w:rFonts w:eastAsia="Times New Roman"/>
          <w:bCs/>
          <w:spacing w:val="-2"/>
          <w:szCs w:val="24"/>
          <w:lang w:val="sr-RS" w:eastAsia="ar-SA"/>
        </w:rPr>
        <w:t>0</w:t>
      </w:r>
      <w:r>
        <w:rPr>
          <w:rFonts w:eastAsia="Times New Roman"/>
          <w:bCs/>
          <w:spacing w:val="-2"/>
          <w:szCs w:val="24"/>
          <w:lang w:eastAsia="ar-SA"/>
        </w:rPr>
        <w:t>8.</w:t>
      </w:r>
      <w:r>
        <w:rPr>
          <w:rFonts w:eastAsia="Times New Roman"/>
          <w:bCs/>
          <w:spacing w:val="-2"/>
          <w:szCs w:val="24"/>
          <w:lang w:val="sr-RS" w:eastAsia="ar-SA"/>
        </w:rPr>
        <w:t>1</w:t>
      </w:r>
      <w:r>
        <w:rPr>
          <w:rFonts w:eastAsia="Times New Roman"/>
          <w:bCs/>
          <w:spacing w:val="-2"/>
          <w:szCs w:val="24"/>
          <w:lang w:eastAsia="ar-SA"/>
        </w:rPr>
        <w:t>2.2023. године;</w:t>
      </w:r>
    </w:p>
    <w:p>
      <w:pPr>
        <w:pStyle w:val="Normal"/>
        <w:tabs>
          <w:tab w:val="clear" w:pos="720"/>
          <w:tab w:val="left" w:pos="142" w:leader="none"/>
        </w:tabs>
        <w:spacing w:lineRule="auto" w:line="276"/>
        <w:rPr>
          <w:rFonts w:ascii="Times New Roman" w:hAnsi="Times New Roman"/>
        </w:rPr>
      </w:pPr>
      <w:r>
        <w:rPr>
          <w:rFonts w:eastAsia="Times New Roman"/>
          <w:bCs/>
          <w:spacing w:val="-2"/>
          <w:szCs w:val="24"/>
          <w:lang w:eastAsia="ar-SA"/>
        </w:rPr>
        <w:t>- Јавно предузеће за газдовање шумама „Србијашуме“ Београд, број:1</w:t>
      </w:r>
      <w:r>
        <w:rPr>
          <w:rFonts w:eastAsia="Times New Roman"/>
          <w:bCs/>
          <w:spacing w:val="-2"/>
          <w:szCs w:val="24"/>
          <w:lang w:val="sr-RS" w:eastAsia="ar-SA"/>
        </w:rPr>
        <w:t>6998</w:t>
      </w:r>
      <w:r>
        <w:rPr>
          <w:rFonts w:eastAsia="Times New Roman"/>
          <w:bCs/>
          <w:spacing w:val="-2"/>
          <w:szCs w:val="24"/>
          <w:lang w:eastAsia="ar-SA"/>
        </w:rPr>
        <w:t xml:space="preserve"> од 2</w:t>
      </w:r>
      <w:r>
        <w:rPr>
          <w:rFonts w:eastAsia="Times New Roman"/>
          <w:bCs/>
          <w:spacing w:val="-2"/>
          <w:szCs w:val="24"/>
          <w:lang w:val="sr-RS" w:eastAsia="ar-SA"/>
        </w:rPr>
        <w:t>8</w:t>
      </w:r>
      <w:r>
        <w:rPr>
          <w:rFonts w:eastAsia="Times New Roman"/>
          <w:bCs/>
          <w:spacing w:val="-2"/>
          <w:szCs w:val="24"/>
          <w:lang w:eastAsia="ar-SA"/>
        </w:rPr>
        <w:t>.1</w:t>
      </w:r>
      <w:r>
        <w:rPr>
          <w:rFonts w:eastAsia="Times New Roman"/>
          <w:bCs/>
          <w:spacing w:val="-2"/>
          <w:szCs w:val="24"/>
          <w:lang w:val="sr-RS" w:eastAsia="ar-SA"/>
        </w:rPr>
        <w:t>1</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426" w:leader="none"/>
        </w:tabs>
        <w:ind w:right="-1" w:hanging="0"/>
        <w:rPr>
          <w:rFonts w:ascii="Times New Roman" w:hAnsi="Times New Roman"/>
        </w:rPr>
      </w:pPr>
      <w:r>
        <w:rPr>
          <w:rFonts w:eastAsia="Times New Roman"/>
          <w:bCs/>
          <w:spacing w:val="-2"/>
          <w:szCs w:val="24"/>
          <w:lang w:eastAsia="ar-SA"/>
        </w:rPr>
        <w:t>- Републички сеизмолошки завод- , број: 02-</w:t>
      </w:r>
      <w:r>
        <w:rPr>
          <w:rFonts w:eastAsia="Times New Roman"/>
          <w:bCs/>
          <w:spacing w:val="-2"/>
          <w:szCs w:val="24"/>
          <w:lang w:val="sr-RS" w:eastAsia="ar-SA"/>
        </w:rPr>
        <w:t>545</w:t>
      </w:r>
      <w:r>
        <w:rPr>
          <w:rFonts w:eastAsia="Times New Roman"/>
          <w:bCs/>
          <w:spacing w:val="-2"/>
          <w:szCs w:val="24"/>
          <w:lang w:eastAsia="ar-SA"/>
        </w:rPr>
        <w:t>-1</w:t>
      </w:r>
      <w:r>
        <w:rPr>
          <w:rFonts w:eastAsia="Times New Roman"/>
          <w:bCs/>
          <w:spacing w:val="-2"/>
          <w:szCs w:val="24"/>
          <w:lang w:val="sr-RS" w:eastAsia="ar-SA"/>
        </w:rPr>
        <w:t>-</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xml:space="preserve">  од </w:t>
      </w:r>
      <w:r>
        <w:rPr>
          <w:rFonts w:eastAsia="Times New Roman"/>
          <w:bCs/>
          <w:spacing w:val="-2"/>
          <w:szCs w:val="24"/>
          <w:lang w:val="sr-RS" w:eastAsia="ar-SA"/>
        </w:rPr>
        <w:t>31</w:t>
      </w:r>
      <w:r>
        <w:rPr>
          <w:rFonts w:eastAsia="Times New Roman"/>
          <w:bCs/>
          <w:spacing w:val="-2"/>
          <w:szCs w:val="24"/>
          <w:lang w:eastAsia="ar-SA"/>
        </w:rPr>
        <w:t>.1</w:t>
      </w:r>
      <w:r>
        <w:rPr>
          <w:rFonts w:eastAsia="Times New Roman"/>
          <w:bCs/>
          <w:spacing w:val="-2"/>
          <w:szCs w:val="24"/>
          <w:lang w:val="sr-RS" w:eastAsia="ar-SA"/>
        </w:rPr>
        <w:t>0</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426" w:leader="none"/>
        </w:tabs>
        <w:ind w:right="-1" w:hanging="0"/>
        <w:rPr>
          <w:rFonts w:ascii="Times New Roman" w:hAnsi="Times New Roman"/>
        </w:rPr>
      </w:pPr>
      <w:r>
        <w:rPr>
          <w:rFonts w:eastAsia="Times New Roman"/>
          <w:bCs/>
          <w:spacing w:val="-2"/>
          <w:szCs w:val="24"/>
          <w:lang w:eastAsia="ar-SA"/>
        </w:rPr>
        <w:t xml:space="preserve">- Јавно водопривредно предузеће  „Србијаводе“ Београд , Водопривредни центар „Морава“ Ниш </w:t>
      </w:r>
    </w:p>
    <w:p>
      <w:pPr>
        <w:pStyle w:val="Normal"/>
        <w:tabs>
          <w:tab w:val="clear" w:pos="720"/>
          <w:tab w:val="left" w:pos="426" w:leader="none"/>
        </w:tabs>
        <w:ind w:right="-1" w:hanging="0"/>
        <w:rPr>
          <w:rFonts w:ascii="Times New Roman" w:hAnsi="Times New Roman"/>
        </w:rPr>
      </w:pPr>
      <w:r>
        <w:rPr>
          <w:rFonts w:eastAsia="Times New Roman"/>
          <w:bCs/>
          <w:spacing w:val="-2"/>
          <w:szCs w:val="24"/>
          <w:lang w:eastAsia="ar-SA"/>
        </w:rPr>
        <w:t>број: 104</w:t>
      </w:r>
      <w:r>
        <w:rPr>
          <w:rFonts w:eastAsia="Times New Roman"/>
          <w:bCs/>
          <w:spacing w:val="-2"/>
          <w:szCs w:val="24"/>
          <w:lang w:val="sr-RS" w:eastAsia="ar-SA"/>
        </w:rPr>
        <w:t>98</w:t>
      </w:r>
      <w:r>
        <w:rPr>
          <w:rFonts w:eastAsia="Times New Roman"/>
          <w:bCs/>
          <w:spacing w:val="-2"/>
          <w:szCs w:val="24"/>
          <w:lang w:eastAsia="ar-SA"/>
        </w:rPr>
        <w:t xml:space="preserve">/1 од </w:t>
      </w:r>
      <w:r>
        <w:rPr>
          <w:rFonts w:eastAsia="Times New Roman"/>
          <w:bCs/>
          <w:spacing w:val="-2"/>
          <w:szCs w:val="24"/>
          <w:lang w:val="sr-RS" w:eastAsia="ar-SA"/>
        </w:rPr>
        <w:t>0</w:t>
      </w:r>
      <w:r>
        <w:rPr>
          <w:rFonts w:eastAsia="Times New Roman"/>
          <w:bCs/>
          <w:spacing w:val="-2"/>
          <w:szCs w:val="24"/>
          <w:lang w:eastAsia="ar-SA"/>
        </w:rPr>
        <w:t>8.11.202</w:t>
      </w:r>
      <w:r>
        <w:rPr>
          <w:rFonts w:eastAsia="Times New Roman"/>
          <w:bCs/>
          <w:spacing w:val="-2"/>
          <w:szCs w:val="24"/>
          <w:lang w:val="sr-RS" w:eastAsia="ar-SA"/>
        </w:rPr>
        <w:t>3</w:t>
      </w:r>
      <w:r>
        <w:rPr>
          <w:rFonts w:eastAsia="Times New Roman"/>
          <w:bCs/>
          <w:spacing w:val="-2"/>
          <w:szCs w:val="24"/>
          <w:lang w:eastAsia="ar-SA"/>
        </w:rPr>
        <w:t>. године</w:t>
      </w:r>
      <w:bookmarkStart w:id="61" w:name="_Hlk129000212"/>
      <w:bookmarkStart w:id="62" w:name="_Hlk129084956"/>
      <w:bookmarkStart w:id="63" w:name="_Hlk135817162"/>
      <w:bookmarkEnd w:id="61"/>
      <w:bookmarkEnd w:id="62"/>
      <w:bookmarkEnd w:id="63"/>
    </w:p>
    <w:p>
      <w:pPr>
        <w:pStyle w:val="Normal"/>
        <w:tabs>
          <w:tab w:val="clear" w:pos="720"/>
          <w:tab w:val="left" w:pos="426" w:leader="none"/>
        </w:tabs>
        <w:ind w:right="-1" w:hanging="0"/>
        <w:rPr>
          <w:rFonts w:ascii="Times New Roman" w:hAnsi="Times New Roman"/>
        </w:rPr>
      </w:pPr>
      <w:r>
        <w:rPr>
          <w:rFonts w:eastAsia="Times New Roman"/>
          <w:bCs/>
          <w:spacing w:val="-2"/>
          <w:szCs w:val="24"/>
          <w:lang w:eastAsia="ar-SA"/>
        </w:rPr>
        <w:t>- Министарство пољопривреде, шумарства и водопривреде,  број: 000318935 2023 14840 007 000 000 001 од 13.11.2023. године</w:t>
      </w:r>
      <w:bookmarkStart w:id="64" w:name="_Hlk129000382"/>
      <w:bookmarkEnd w:id="64"/>
    </w:p>
    <w:p>
      <w:pPr>
        <w:pStyle w:val="Normal"/>
        <w:tabs>
          <w:tab w:val="clear" w:pos="720"/>
          <w:tab w:val="left" w:pos="426" w:leader="none"/>
        </w:tabs>
        <w:ind w:right="-1" w:hanging="0"/>
        <w:rPr>
          <w:rFonts w:ascii="Times New Roman" w:hAnsi="Times New Roman"/>
        </w:rPr>
      </w:pPr>
      <w:r>
        <w:rPr>
          <w:rFonts w:eastAsia="Times New Roman"/>
          <w:bCs/>
          <w:spacing w:val="-2"/>
          <w:szCs w:val="24"/>
          <w:lang w:eastAsia="ar-SA"/>
        </w:rPr>
        <w:t>- МУП сектор за ванредне ситуације – Управа за ванредне ситуације  у Нишу, 0</w:t>
      </w:r>
      <w:r>
        <w:rPr>
          <w:rFonts w:eastAsia="Times New Roman"/>
          <w:bCs/>
          <w:spacing w:val="-2"/>
          <w:szCs w:val="24"/>
          <w:lang w:val="sr-RS" w:eastAsia="ar-SA"/>
        </w:rPr>
        <w:t>7</w:t>
      </w:r>
      <w:r>
        <w:rPr>
          <w:rFonts w:eastAsia="Times New Roman"/>
          <w:bCs/>
          <w:spacing w:val="-2"/>
          <w:szCs w:val="24"/>
          <w:lang w:eastAsia="ar-SA"/>
        </w:rPr>
        <w:t>.19.2</w:t>
      </w:r>
      <w:r>
        <w:rPr>
          <w:rFonts w:eastAsia="Times New Roman"/>
          <w:bCs/>
          <w:spacing w:val="-2"/>
          <w:szCs w:val="24"/>
          <w:lang w:val="sr-RS" w:eastAsia="ar-SA"/>
        </w:rPr>
        <w:t>.1</w:t>
      </w:r>
      <w:r>
        <w:rPr>
          <w:rFonts w:eastAsia="Times New Roman"/>
          <w:bCs/>
          <w:spacing w:val="-2"/>
          <w:szCs w:val="24"/>
          <w:lang w:eastAsia="ar-SA"/>
        </w:rPr>
        <w:t xml:space="preserve"> број: 217-</w:t>
      </w:r>
      <w:r>
        <w:rPr>
          <w:rFonts w:eastAsia="Times New Roman"/>
          <w:bCs/>
          <w:spacing w:val="-2"/>
          <w:szCs w:val="24"/>
          <w:lang w:val="sr-RS" w:eastAsia="ar-SA"/>
        </w:rPr>
        <w:t>3316</w:t>
      </w:r>
      <w:r>
        <w:rPr>
          <w:rFonts w:eastAsia="Times New Roman"/>
          <w:bCs/>
          <w:spacing w:val="-2"/>
          <w:szCs w:val="24"/>
          <w:lang w:eastAsia="ar-SA"/>
        </w:rPr>
        <w:t>/2</w:t>
      </w:r>
      <w:r>
        <w:rPr>
          <w:rFonts w:eastAsia="Times New Roman"/>
          <w:bCs/>
          <w:spacing w:val="-2"/>
          <w:szCs w:val="24"/>
          <w:lang w:val="sr-RS" w:eastAsia="ar-SA"/>
        </w:rPr>
        <w:t>3-1</w:t>
      </w:r>
      <w:r>
        <w:rPr>
          <w:rFonts w:eastAsia="Times New Roman"/>
          <w:bCs/>
          <w:spacing w:val="-2"/>
          <w:szCs w:val="24"/>
          <w:lang w:eastAsia="ar-SA"/>
        </w:rPr>
        <w:t xml:space="preserve"> од </w:t>
      </w:r>
      <w:r>
        <w:rPr>
          <w:rFonts w:eastAsia="Times New Roman"/>
          <w:bCs/>
          <w:spacing w:val="-2"/>
          <w:szCs w:val="24"/>
          <w:lang w:val="sr-RS" w:eastAsia="ar-SA"/>
        </w:rPr>
        <w:t>3</w:t>
      </w:r>
      <w:r>
        <w:rPr>
          <w:rFonts w:eastAsia="Times New Roman"/>
          <w:bCs/>
          <w:spacing w:val="-2"/>
          <w:szCs w:val="24"/>
          <w:lang w:eastAsia="ar-SA"/>
        </w:rPr>
        <w:t>0.1</w:t>
      </w:r>
      <w:r>
        <w:rPr>
          <w:rFonts w:eastAsia="Times New Roman"/>
          <w:bCs/>
          <w:spacing w:val="-2"/>
          <w:szCs w:val="24"/>
          <w:lang w:val="sr-RS" w:eastAsia="ar-SA"/>
        </w:rPr>
        <w:t>0</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bookmarkStart w:id="65" w:name="_Hlk153447171"/>
      <w:bookmarkEnd w:id="65"/>
    </w:p>
    <w:p>
      <w:pPr>
        <w:pStyle w:val="Normal"/>
        <w:tabs>
          <w:tab w:val="clear" w:pos="720"/>
          <w:tab w:val="left" w:pos="426" w:leader="none"/>
        </w:tabs>
        <w:ind w:right="-1" w:hanging="0"/>
        <w:rPr>
          <w:rFonts w:ascii="Times New Roman" w:hAnsi="Times New Roman"/>
        </w:rPr>
      </w:pPr>
      <w:r>
        <w:rPr>
          <w:szCs w:val="24"/>
          <w:lang w:val="sr-RS"/>
        </w:rPr>
        <w:t xml:space="preserve">- </w:t>
      </w:r>
      <w:r>
        <w:rPr>
          <w:rFonts w:eastAsia="Times New Roman"/>
          <w:bCs/>
          <w:spacing w:val="-2"/>
          <w:szCs w:val="24"/>
          <w:lang w:eastAsia="ar-SA"/>
        </w:rPr>
        <w:t>Завод за заштиту природе Србије,: 03 бр. 021-3</w:t>
      </w:r>
      <w:r>
        <w:rPr>
          <w:rFonts w:eastAsia="Times New Roman"/>
          <w:bCs/>
          <w:spacing w:val="-2"/>
          <w:szCs w:val="24"/>
          <w:lang w:val="sr-RS" w:eastAsia="ar-SA"/>
        </w:rPr>
        <w:t>929</w:t>
      </w:r>
      <w:r>
        <w:rPr>
          <w:rFonts w:eastAsia="Times New Roman"/>
          <w:bCs/>
          <w:spacing w:val="-2"/>
          <w:szCs w:val="24"/>
          <w:lang w:eastAsia="ar-SA"/>
        </w:rPr>
        <w:t xml:space="preserve">/2  од </w:t>
      </w:r>
      <w:r>
        <w:rPr>
          <w:rFonts w:eastAsia="Times New Roman"/>
          <w:bCs/>
          <w:spacing w:val="-2"/>
          <w:szCs w:val="24"/>
          <w:lang w:val="sr-RS" w:eastAsia="ar-SA"/>
        </w:rPr>
        <w:t>16</w:t>
      </w:r>
      <w:r>
        <w:rPr>
          <w:rFonts w:eastAsia="Times New Roman"/>
          <w:bCs/>
          <w:spacing w:val="-2"/>
          <w:szCs w:val="24"/>
          <w:lang w:eastAsia="ar-SA"/>
        </w:rPr>
        <w:t>.11.202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426" w:leader="none"/>
        </w:tabs>
        <w:ind w:right="-1" w:hanging="0"/>
        <w:rPr>
          <w:rFonts w:ascii="Times New Roman" w:hAnsi="Times New Roman"/>
        </w:rPr>
      </w:pPr>
      <w:r>
        <w:rPr>
          <w:rFonts w:eastAsia="Times New Roman"/>
          <w:bCs/>
          <w:spacing w:val="-2"/>
          <w:szCs w:val="24"/>
          <w:lang w:val="sr-RS" w:eastAsia="ar-SA"/>
        </w:rPr>
        <w:t xml:space="preserve">- Репубблички хидрометереолошки завод, Београд -  </w:t>
      </w:r>
      <w:r>
        <w:rPr>
          <w:rFonts w:eastAsia="Times New Roman"/>
          <w:bCs/>
          <w:spacing w:val="-2"/>
          <w:szCs w:val="24"/>
          <w:lang w:eastAsia="ar-SA"/>
        </w:rPr>
        <w:t xml:space="preserve">број: </w:t>
      </w:r>
      <w:r>
        <w:rPr>
          <w:rFonts w:eastAsia="Times New Roman"/>
          <w:bCs/>
          <w:spacing w:val="-2"/>
          <w:szCs w:val="24"/>
          <w:lang w:val="sr-RS" w:eastAsia="ar-SA"/>
        </w:rPr>
        <w:t>922-3-169</w:t>
      </w:r>
      <w:r>
        <w:rPr>
          <w:rFonts w:eastAsia="Times New Roman"/>
          <w:bCs/>
          <w:spacing w:val="-2"/>
          <w:szCs w:val="24"/>
          <w:lang w:eastAsia="ar-SA"/>
        </w:rPr>
        <w:t>/</w:t>
      </w:r>
      <w:r>
        <w:rPr>
          <w:rFonts w:eastAsia="Times New Roman"/>
          <w:bCs/>
          <w:spacing w:val="-2"/>
          <w:szCs w:val="24"/>
          <w:lang w:val="sr-RS" w:eastAsia="ar-SA"/>
        </w:rPr>
        <w:t>20</w:t>
      </w:r>
      <w:r>
        <w:rPr>
          <w:rFonts w:eastAsia="Times New Roman"/>
          <w:bCs/>
          <w:spacing w:val="-2"/>
          <w:szCs w:val="24"/>
          <w:lang w:eastAsia="ar-SA"/>
        </w:rPr>
        <w:t>2</w:t>
      </w:r>
      <w:r>
        <w:rPr>
          <w:rFonts w:eastAsia="Times New Roman"/>
          <w:bCs/>
          <w:spacing w:val="-2"/>
          <w:szCs w:val="24"/>
          <w:lang w:val="sr-RS" w:eastAsia="ar-SA"/>
        </w:rPr>
        <w:t>3</w:t>
      </w:r>
      <w:r>
        <w:rPr>
          <w:rFonts w:eastAsia="Times New Roman"/>
          <w:bCs/>
          <w:spacing w:val="-2"/>
          <w:szCs w:val="24"/>
          <w:lang w:eastAsia="ar-SA"/>
        </w:rPr>
        <w:t xml:space="preserve"> од </w:t>
      </w:r>
      <w:r>
        <w:rPr>
          <w:rFonts w:eastAsia="Times New Roman"/>
          <w:bCs/>
          <w:spacing w:val="-2"/>
          <w:szCs w:val="24"/>
          <w:lang w:val="sr-RS" w:eastAsia="ar-SA"/>
        </w:rPr>
        <w:t>3</w:t>
      </w:r>
      <w:r>
        <w:rPr>
          <w:rFonts w:eastAsia="Times New Roman"/>
          <w:bCs/>
          <w:spacing w:val="-2"/>
          <w:szCs w:val="24"/>
          <w:lang w:eastAsia="ar-SA"/>
        </w:rPr>
        <w:t>1.1</w:t>
      </w:r>
      <w:r>
        <w:rPr>
          <w:rFonts w:eastAsia="Times New Roman"/>
          <w:bCs/>
          <w:spacing w:val="-2"/>
          <w:szCs w:val="24"/>
          <w:lang w:val="sr-RS" w:eastAsia="ar-SA"/>
        </w:rPr>
        <w:t>0</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bookmarkStart w:id="66" w:name="_Hlk153446251"/>
      <w:bookmarkEnd w:id="66"/>
    </w:p>
    <w:p>
      <w:pPr>
        <w:pStyle w:val="Normal"/>
        <w:tabs>
          <w:tab w:val="clear" w:pos="720"/>
          <w:tab w:val="left" w:pos="426" w:leader="none"/>
        </w:tabs>
        <w:ind w:right="-1" w:hanging="0"/>
        <w:rPr>
          <w:rFonts w:ascii="Times New Roman" w:hAnsi="Times New Roman"/>
        </w:rPr>
      </w:pPr>
      <w:r>
        <w:rPr>
          <w:rFonts w:eastAsia="Times New Roman"/>
          <w:bCs/>
          <w:spacing w:val="-2"/>
          <w:szCs w:val="24"/>
          <w:lang w:val="sr-RS" w:eastAsia="ar-SA"/>
        </w:rPr>
        <w:t xml:space="preserve">- </w:t>
      </w:r>
      <w:r>
        <w:rPr>
          <w:rFonts w:eastAsia="Times New Roman"/>
          <w:bCs/>
          <w:spacing w:val="-2"/>
          <w:szCs w:val="24"/>
          <w:lang w:eastAsia="ar-SA"/>
        </w:rPr>
        <w:t>Министарство</w:t>
      </w:r>
      <w:r>
        <w:rPr>
          <w:bCs/>
          <w:szCs w:val="24"/>
        </w:rPr>
        <w:t xml:space="preserve"> </w:t>
      </w:r>
      <w:r>
        <w:rPr>
          <w:bCs/>
          <w:szCs w:val="24"/>
          <w:lang w:val="sr-RS"/>
        </w:rPr>
        <w:t>одбране, сектор за материјалне ресурсе, управа за инфраструктуру</w:t>
      </w:r>
      <w:r>
        <w:rPr>
          <w:rFonts w:eastAsia="Times New Roman"/>
          <w:bCs/>
          <w:spacing w:val="-2"/>
          <w:szCs w:val="24"/>
          <w:lang w:val="sr-RS" w:eastAsia="ar-SA"/>
        </w:rPr>
        <w:t xml:space="preserve"> Београд -  </w:t>
      </w:r>
      <w:r>
        <w:rPr>
          <w:rFonts w:eastAsia="Times New Roman"/>
          <w:bCs/>
          <w:spacing w:val="-2"/>
          <w:szCs w:val="24"/>
          <w:lang w:eastAsia="ar-SA"/>
        </w:rPr>
        <w:t xml:space="preserve">број: </w:t>
      </w:r>
      <w:r>
        <w:rPr>
          <w:rFonts w:eastAsia="Times New Roman"/>
          <w:bCs/>
          <w:spacing w:val="-2"/>
          <w:szCs w:val="24"/>
          <w:lang w:val="sr-RS" w:eastAsia="ar-SA"/>
        </w:rPr>
        <w:t>17704-2</w:t>
      </w:r>
      <w:r>
        <w:rPr>
          <w:rFonts w:eastAsia="Times New Roman"/>
          <w:bCs/>
          <w:spacing w:val="-2"/>
          <w:szCs w:val="24"/>
          <w:lang w:eastAsia="ar-SA"/>
        </w:rPr>
        <w:t xml:space="preserve"> од </w:t>
      </w:r>
      <w:r>
        <w:rPr>
          <w:rFonts w:eastAsia="Times New Roman"/>
          <w:bCs/>
          <w:spacing w:val="-2"/>
          <w:szCs w:val="24"/>
          <w:lang w:val="sr-RS" w:eastAsia="ar-SA"/>
        </w:rPr>
        <w:t>06</w:t>
      </w:r>
      <w:r>
        <w:rPr>
          <w:rFonts w:eastAsia="Times New Roman"/>
          <w:bCs/>
          <w:spacing w:val="-2"/>
          <w:szCs w:val="24"/>
          <w:lang w:eastAsia="ar-SA"/>
        </w:rPr>
        <w:t>.1</w:t>
      </w:r>
      <w:r>
        <w:rPr>
          <w:rFonts w:eastAsia="Times New Roman"/>
          <w:bCs/>
          <w:spacing w:val="-2"/>
          <w:szCs w:val="24"/>
          <w:lang w:val="sr-RS" w:eastAsia="ar-SA"/>
        </w:rPr>
        <w:t>1</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p>
    <w:p>
      <w:pPr>
        <w:pStyle w:val="Normal"/>
        <w:tabs>
          <w:tab w:val="clear" w:pos="720"/>
          <w:tab w:val="left" w:pos="426" w:leader="none"/>
        </w:tabs>
        <w:ind w:right="-1" w:hanging="0"/>
        <w:rPr>
          <w:rFonts w:ascii="Times New Roman" w:hAnsi="Times New Roman"/>
        </w:rPr>
      </w:pPr>
      <w:r>
        <w:rPr>
          <w:bCs/>
          <w:szCs w:val="24"/>
          <w:lang w:val="sr-RS"/>
        </w:rPr>
        <w:t xml:space="preserve">- РАТЕЛ- Београд, </w:t>
      </w:r>
      <w:r>
        <w:rPr>
          <w:rFonts w:eastAsia="Times New Roman"/>
          <w:bCs/>
          <w:spacing w:val="-2"/>
          <w:szCs w:val="24"/>
          <w:lang w:eastAsia="ar-SA"/>
        </w:rPr>
        <w:t xml:space="preserve">број: </w:t>
      </w:r>
      <w:r>
        <w:rPr>
          <w:rFonts w:eastAsia="Times New Roman"/>
          <w:bCs/>
          <w:spacing w:val="-2"/>
          <w:szCs w:val="24"/>
          <w:lang w:val="sr-RS" w:eastAsia="ar-SA"/>
        </w:rPr>
        <w:t>1-01-3491-390/23-1</w:t>
      </w:r>
      <w:r>
        <w:rPr>
          <w:rFonts w:eastAsia="Times New Roman"/>
          <w:bCs/>
          <w:spacing w:val="-2"/>
          <w:szCs w:val="24"/>
          <w:lang w:eastAsia="ar-SA"/>
        </w:rPr>
        <w:t xml:space="preserve"> од </w:t>
      </w:r>
      <w:r>
        <w:rPr>
          <w:rFonts w:eastAsia="Times New Roman"/>
          <w:bCs/>
          <w:spacing w:val="-2"/>
          <w:szCs w:val="24"/>
          <w:lang w:val="sr-RS" w:eastAsia="ar-SA"/>
        </w:rPr>
        <w:t>27</w:t>
      </w:r>
      <w:r>
        <w:rPr>
          <w:rFonts w:eastAsia="Times New Roman"/>
          <w:bCs/>
          <w:spacing w:val="-2"/>
          <w:szCs w:val="24"/>
          <w:lang w:eastAsia="ar-SA"/>
        </w:rPr>
        <w:t>.1</w:t>
      </w:r>
      <w:r>
        <w:rPr>
          <w:rFonts w:eastAsia="Times New Roman"/>
          <w:bCs/>
          <w:spacing w:val="-2"/>
          <w:szCs w:val="24"/>
          <w:lang w:val="sr-RS" w:eastAsia="ar-SA"/>
        </w:rPr>
        <w:t>0</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bookmarkStart w:id="67" w:name="_Hlk153447705"/>
      <w:bookmarkEnd w:id="67"/>
    </w:p>
    <w:p>
      <w:pPr>
        <w:pStyle w:val="Normal"/>
        <w:tabs>
          <w:tab w:val="clear" w:pos="720"/>
          <w:tab w:val="left" w:pos="426" w:leader="none"/>
        </w:tabs>
        <w:ind w:right="-1" w:hanging="0"/>
        <w:rPr>
          <w:rFonts w:ascii="Times New Roman" w:hAnsi="Times New Roman"/>
        </w:rPr>
      </w:pPr>
      <w:r>
        <w:rPr>
          <w:bCs/>
          <w:szCs w:val="24"/>
          <w:lang w:val="sr-RS"/>
        </w:rPr>
        <w:t>- ЕМС, Београд,  130-00-</w:t>
      </w:r>
      <w:r>
        <w:rPr>
          <w:bCs/>
          <w:szCs w:val="24"/>
          <w:lang w:val="sr-Latn-RS"/>
        </w:rPr>
        <w:t>UTD</w:t>
      </w:r>
      <w:r>
        <w:rPr>
          <w:rFonts w:eastAsia="Times New Roman"/>
          <w:bCs/>
          <w:spacing w:val="-2"/>
          <w:szCs w:val="24"/>
          <w:lang w:val="sr-RS" w:eastAsia="ar-SA"/>
        </w:rPr>
        <w:t>-003-1457/2023-1</w:t>
      </w:r>
      <w:r>
        <w:rPr>
          <w:rFonts w:eastAsia="Times New Roman"/>
          <w:bCs/>
          <w:spacing w:val="-2"/>
          <w:szCs w:val="24"/>
          <w:lang w:eastAsia="ar-SA"/>
        </w:rPr>
        <w:t xml:space="preserve"> од </w:t>
      </w:r>
      <w:r>
        <w:rPr>
          <w:rFonts w:eastAsia="Times New Roman"/>
          <w:bCs/>
          <w:spacing w:val="-2"/>
          <w:szCs w:val="24"/>
          <w:lang w:val="sr-RS" w:eastAsia="ar-SA"/>
        </w:rPr>
        <w:t>20</w:t>
      </w:r>
      <w:r>
        <w:rPr>
          <w:rFonts w:eastAsia="Times New Roman"/>
          <w:bCs/>
          <w:spacing w:val="-2"/>
          <w:szCs w:val="24"/>
          <w:lang w:eastAsia="ar-SA"/>
        </w:rPr>
        <w:t>.1</w:t>
      </w:r>
      <w:r>
        <w:rPr>
          <w:rFonts w:eastAsia="Times New Roman"/>
          <w:bCs/>
          <w:spacing w:val="-2"/>
          <w:szCs w:val="24"/>
          <w:lang w:val="sr-RS" w:eastAsia="ar-SA"/>
        </w:rPr>
        <w:t>1</w:t>
      </w:r>
      <w:r>
        <w:rPr>
          <w:rFonts w:eastAsia="Times New Roman"/>
          <w:bCs/>
          <w:spacing w:val="-2"/>
          <w:szCs w:val="24"/>
          <w:lang w:eastAsia="ar-SA"/>
        </w:rPr>
        <w:t>.202</w:t>
      </w:r>
      <w:r>
        <w:rPr>
          <w:rFonts w:eastAsia="Times New Roman"/>
          <w:bCs/>
          <w:spacing w:val="-2"/>
          <w:szCs w:val="24"/>
          <w:lang w:val="sr-RS" w:eastAsia="ar-SA"/>
        </w:rPr>
        <w:t>3</w:t>
      </w:r>
      <w:r>
        <w:rPr>
          <w:rFonts w:eastAsia="Times New Roman"/>
          <w:bCs/>
          <w:spacing w:val="-2"/>
          <w:szCs w:val="24"/>
          <w:lang w:eastAsia="ar-SA"/>
        </w:rPr>
        <w:t>. године</w:t>
      </w:r>
    </w:p>
    <w:p>
      <w:pPr>
        <w:pStyle w:val="Normal"/>
        <w:ind w:hanging="0"/>
        <w:jc w:val="center"/>
        <w:rPr>
          <w:rFonts w:ascii="Times New Roman" w:hAnsi="Times New Roman"/>
          <w:lang w:val="sr-RS"/>
        </w:rPr>
      </w:pPr>
      <w:r>
        <w:rPr>
          <w:lang w:val="sr-RS"/>
        </w:rPr>
      </w:r>
    </w:p>
    <w:p>
      <w:pPr>
        <w:pStyle w:val="Normal"/>
        <w:tabs>
          <w:tab w:val="clear" w:pos="720"/>
          <w:tab w:val="left" w:pos="1620" w:leader="none"/>
          <w:tab w:val="left" w:pos="8820" w:leader="none"/>
          <w:tab w:val="left" w:pos="9360" w:leader="none"/>
        </w:tabs>
        <w:ind w:left="450" w:right="180" w:hanging="0"/>
        <w:rPr>
          <w:rFonts w:ascii="Times New Roman" w:hAnsi="Times New Roman"/>
          <w:lang w:val="sr-RS"/>
        </w:rPr>
      </w:pPr>
      <w:r>
        <w:rPr>
          <w:lang w:val="sr-RS"/>
        </w:rPr>
      </w:r>
    </w:p>
    <w:p>
      <w:pPr>
        <w:pStyle w:val="Normal"/>
        <w:tabs>
          <w:tab w:val="clear" w:pos="720"/>
          <w:tab w:val="left" w:pos="1620" w:leader="none"/>
          <w:tab w:val="left" w:pos="8820" w:leader="none"/>
          <w:tab w:val="left" w:pos="9360" w:leader="none"/>
        </w:tabs>
        <w:ind w:left="450" w:right="180" w:hanging="0"/>
        <w:rPr>
          <w:rFonts w:ascii="Times New Roman" w:hAnsi="Times New Roman"/>
        </w:rPr>
      </w:pPr>
      <w:r>
        <w:rPr/>
      </w:r>
    </w:p>
    <w:sectPr>
      <w:headerReference w:type="even" r:id="rId5"/>
      <w:headerReference w:type="default" r:id="rId6"/>
      <w:footerReference w:type="even" r:id="rId7"/>
      <w:footerReference w:type="default" r:id="rId8"/>
      <w:type w:val="nextPage"/>
      <w:pgSz w:w="11906" w:h="16838"/>
      <w:pgMar w:left="1418" w:right="567" w:gutter="0" w:header="742" w:top="1280" w:footer="272" w:bottom="1276"/>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Tahoma">
    <w:charset w:val="00"/>
    <w:family w:val="roman"/>
    <w:pitch w:val="variable"/>
  </w:font>
  <w:font w:name="Lucida Sans Unicode">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 w:name="Courier New">
    <w:charset w:val="01"/>
    <w:family w:val="modern"/>
    <w:pitch w:val="fixed"/>
  </w:font>
  <w:font w:name="Wingdings">
    <w:charset w:val="02"/>
    <w:family w:val="auto"/>
    <w:pitch w:val="variable"/>
  </w:font>
  <w:font w:name="Vrinda">
    <w:charset w:val="01"/>
    <w:family w:val="auto"/>
    <w:pitch w:val="default"/>
  </w:font>
  <w:font w:name="Cir SwissCond">
    <w:charset w:val="01"/>
    <w:family w:val="auto"/>
    <w:pitch w:val="default"/>
  </w:font>
  <w:font w:name="Times New Roman">
    <w:charset w:val="01"/>
    <w:family w:val="roman"/>
    <w:pitch w:val="variable"/>
  </w:font>
  <w:font w:name="Century Gothic">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thinThickSmallGap" w:sz="24" w:space="1" w:color="622423"/>
      </w:pBdr>
      <w:rPr>
        <w:sz w:val="19"/>
        <w:szCs w:val="19"/>
      </w:rPr>
    </w:pPr>
    <w:bookmarkStart w:id="68" w:name="_Hlk152153012"/>
    <w:r>
      <w:rPr>
        <w:bCs/>
        <w:i/>
        <w:iCs/>
        <w:sz w:val="19"/>
        <w:szCs w:val="19"/>
        <w:lang w:val="ru-RU"/>
      </w:rPr>
      <w:t>План детаљне регулације за постројењ</w:t>
    </w:r>
    <w:r>
      <w:rPr>
        <w:bCs/>
        <w:i/>
        <w:iCs/>
        <w:sz w:val="19"/>
        <w:szCs w:val="19"/>
      </w:rPr>
      <w:t>е</w:t>
    </w:r>
    <w:r>
      <w:rPr>
        <w:bCs/>
        <w:i/>
        <w:iCs/>
        <w:sz w:val="19"/>
        <w:szCs w:val="19"/>
        <w:lang w:val="ru-RU"/>
      </w:rPr>
      <w:t xml:space="preserve"> за пречишћавање оптадних вода насеља Витошевац</w:t>
    </w:r>
    <w:r>
      <w:rPr>
        <w:bCs/>
        <w:sz w:val="19"/>
        <w:szCs w:val="19"/>
      </w:rPr>
      <w:t xml:space="preserve"> </w:t>
    </w:r>
    <w:r>
      <w:rPr>
        <w:bCs/>
        <w:sz w:val="19"/>
        <w:szCs w:val="19"/>
        <w:lang w:val="sr-RS"/>
      </w:rPr>
      <w:t xml:space="preserve">                  </w:t>
    </w:r>
    <w:r>
      <w:rPr>
        <w:rFonts w:eastAsia="SimSun"/>
        <w:sz w:val="19"/>
        <w:szCs w:val="19"/>
        <w:lang w:val="sr-RS"/>
      </w:rPr>
      <w:t xml:space="preserve">               </w:t>
    </w:r>
    <w:r>
      <w:rPr>
        <w:rFonts w:eastAsia="SimSun"/>
        <w:sz w:val="19"/>
        <w:szCs w:val="19"/>
      </w:rPr>
      <w:t xml:space="preserve">   </w:t>
    </w:r>
    <w:bookmarkEnd w:id="68"/>
    <w:r>
      <w:rPr>
        <w:rFonts w:eastAsia="SimSun"/>
        <w:sz w:val="19"/>
        <w:szCs w:val="19"/>
      </w:rPr>
      <w:fldChar w:fldCharType="begin"/>
    </w:r>
    <w:r>
      <w:rPr>
        <w:sz w:val="19"/>
        <w:szCs w:val="19"/>
        <w:rFonts w:eastAsia="SimSun"/>
      </w:rPr>
      <w:instrText> PAGE </w:instrText>
    </w:r>
    <w:r>
      <w:rPr>
        <w:sz w:val="19"/>
        <w:szCs w:val="19"/>
        <w:rFonts w:eastAsia="SimSun"/>
      </w:rPr>
      <w:fldChar w:fldCharType="separate"/>
    </w:r>
    <w:r>
      <w:rPr>
        <w:sz w:val="19"/>
        <w:szCs w:val="19"/>
        <w:rFonts w:eastAsia="SimSun"/>
      </w:rPr>
      <w:t>40</w:t>
    </w:r>
    <w:r>
      <w:rPr>
        <w:sz w:val="19"/>
        <w:szCs w:val="19"/>
        <w:rFonts w:eastAsia="SimSun"/>
      </w:rPr>
      <w:fldChar w:fldCharType="end"/>
    </w:r>
  </w:p>
  <w:p>
    <w:pPr>
      <w:pStyle w:val="Normal"/>
      <w:rPr>
        <w:sz w:val="19"/>
        <w:szCs w:val="19"/>
      </w:rPr>
    </w:pPr>
    <w:r>
      <w:rPr>
        <w:sz w:val="19"/>
        <w:szCs w:val="19"/>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thinThickSmallGap" w:sz="24" w:space="1" w:color="622423"/>
      </w:pBdr>
      <w:jc w:val="left"/>
      <w:rPr>
        <w:rFonts w:eastAsia="" w:eastAsiaTheme="majorEastAsia"/>
        <w:szCs w:val="24"/>
      </w:rPr>
    </w:pPr>
    <w:r>
      <w:rPr>
        <w:bCs/>
        <w:i/>
        <w:iCs/>
        <w:sz w:val="19"/>
        <w:szCs w:val="19"/>
        <w:lang w:val="ru-RU"/>
      </w:rPr>
      <w:t>План детаљне регулације за постројењ</w:t>
    </w:r>
    <w:r>
      <w:rPr>
        <w:bCs/>
        <w:i/>
        <w:iCs/>
        <w:sz w:val="19"/>
        <w:szCs w:val="19"/>
      </w:rPr>
      <w:t>е</w:t>
    </w:r>
    <w:r>
      <w:rPr>
        <w:bCs/>
        <w:i/>
        <w:iCs/>
        <w:sz w:val="19"/>
        <w:szCs w:val="19"/>
        <w:lang w:val="sr-RS"/>
      </w:rPr>
      <w:t xml:space="preserve"> </w:t>
    </w:r>
    <w:r>
      <w:rPr>
        <w:bCs/>
        <w:i/>
        <w:iCs/>
        <w:sz w:val="19"/>
        <w:szCs w:val="19"/>
        <w:lang w:val="ru-RU"/>
      </w:rPr>
      <w:t>за пречишћавање оптадних вода насеља Витошевац</w:t>
    </w:r>
    <w:r>
      <w:rPr>
        <w:bCs/>
        <w:sz w:val="19"/>
        <w:szCs w:val="19"/>
      </w:rPr>
      <w:t xml:space="preserve"> </w:t>
    </w:r>
    <w:r>
      <w:rPr>
        <w:i/>
        <w:iCs/>
        <w:sz w:val="19"/>
        <w:szCs w:val="19"/>
        <w:lang w:val="ru-RU"/>
      </w:rPr>
      <w:t xml:space="preserve"> </w:t>
    </w:r>
    <w:r>
      <w:rPr>
        <w:i/>
        <w:iCs/>
        <w:sz w:val="18"/>
        <w:szCs w:val="18"/>
        <w:lang w:val="ru-RU"/>
      </w:rPr>
      <w:t xml:space="preserve">              </w:t>
    </w:r>
    <w:r>
      <w:rPr>
        <w:rFonts w:eastAsia="" w:eastAsiaTheme="majorEastAsia"/>
        <w:szCs w:val="24"/>
      </w:rPr>
      <w:tab/>
      <w:t xml:space="preserve">                     </w:t>
    </w:r>
    <w:r>
      <w:rPr>
        <w:rFonts w:eastAsia="SimSun"/>
        <w:szCs w:val="24"/>
      </w:rPr>
      <w:fldChar w:fldCharType="begin"/>
    </w:r>
    <w:r>
      <w:rPr>
        <w:szCs w:val="24"/>
        <w:rFonts w:eastAsia="SimSun"/>
      </w:rPr>
      <w:instrText> PAGE </w:instrText>
    </w:r>
    <w:r>
      <w:rPr>
        <w:szCs w:val="24"/>
        <w:rFonts w:eastAsia="SimSun"/>
      </w:rPr>
      <w:fldChar w:fldCharType="separate"/>
    </w:r>
    <w:r>
      <w:rPr>
        <w:szCs w:val="24"/>
        <w:rFonts w:eastAsia="SimSun"/>
      </w:rPr>
      <w:t>35</w:t>
    </w:r>
    <w:r>
      <w:rPr>
        <w:szCs w:val="24"/>
        <w:rFonts w:eastAsia="SimSun"/>
      </w:rPr>
      <w:fldChar w:fldCharType="end"/>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szCs w:val="24"/>
      </w:rPr>
    </w:pPr>
    <w:r>
      <w:rPr>
        <w:szCs w:val="24"/>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4230"/>
        </w:tabs>
        <w:ind w:left="4950" w:hanging="360"/>
      </w:pPr>
      <w:rPr>
        <w:sz w:val="24"/>
        <w:b/>
        <w:szCs w:val="24"/>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5">
    <w:lvl w:ilvl="0">
      <w:start w:val="1"/>
      <w:numFmt w:val="bullet"/>
      <w:lvlText w:val="-"/>
      <w:lvlJc w:val="left"/>
      <w:pPr>
        <w:tabs>
          <w:tab w:val="num" w:pos="567"/>
        </w:tabs>
        <w:ind w:left="567" w:hanging="283"/>
      </w:pPr>
      <w:rPr>
        <w:rFonts w:ascii="Vrinda" w:hAnsi="Vrinda" w:cs="Vrinda"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567"/>
        </w:tabs>
        <w:ind w:left="567" w:hanging="283"/>
      </w:pPr>
      <w:rPr>
        <w:rFonts w:ascii="Vrinda" w:hAnsi="Vrinda" w:cs="Vrinda"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1047"/>
        </w:tabs>
        <w:ind w:left="1047" w:hanging="283"/>
      </w:pPr>
      <w:rPr>
        <w:rFonts w:ascii="Vrinda" w:hAnsi="Vrinda" w:cs="Vrinda" w:hint="default"/>
        <w:sz w:val="16"/>
        <w:szCs w:val="16"/>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9">
    <w:lvl w:ilvl="0">
      <w:start w:val="1"/>
      <w:numFmt w:val="bullet"/>
      <w:lvlText w:val=""/>
      <w:lvlJc w:val="left"/>
      <w:pPr>
        <w:tabs>
          <w:tab w:val="num" w:pos="0"/>
        </w:tabs>
        <w:ind w:left="63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54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1">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sz w:val="20"/>
        <w:b w:val="fals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z w:val="20"/>
        <w:b w:val="fals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 w:val="20"/>
        <w:b w:val="false"/>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340"/>
        </w:tabs>
        <w:ind w:left="340" w:hanging="340"/>
      </w:pPr>
      <w:rPr>
        <w:rFonts w:ascii="Vrinda" w:hAnsi="Vrinda" w:cs="Vrinda" w:hint="default"/>
        <w:sz w:val="22"/>
        <w:i w:val="false"/>
        <w:b/>
        <w:szCs w:val="16"/>
      </w:rPr>
    </w:lvl>
    <w:lvl w:ilvl="1">
      <w:start w:val="1"/>
      <w:numFmt w:val="bullet"/>
      <w:lvlText w:val="-"/>
      <w:lvlJc w:val="left"/>
      <w:pPr>
        <w:tabs>
          <w:tab w:val="num" w:pos="1363"/>
        </w:tabs>
        <w:ind w:left="1363" w:hanging="283"/>
      </w:pPr>
      <w:rPr>
        <w:rFonts w:ascii="Vrinda" w:hAnsi="Vrinda" w:cs="Vrinda" w:hint="default"/>
        <w:sz w:val="16"/>
        <w:szCs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Cir SwissCond" w:hAnsi="Cir SwissCond" w:cs="Cir SwissC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2520" w:hanging="360"/>
      </w:pPr>
      <w:rPr>
        <w:rFonts w:ascii="Courier New" w:hAnsi="Courier New" w:cs="Courier New"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2061" w:hanging="360"/>
      </w:pPr>
      <w:rPr>
        <w:rFonts w:ascii="Century Gothic" w:hAnsi="Century Gothic" w:cs="Century Gothic" w:hint="default"/>
      </w:rPr>
    </w:lvl>
    <w:lvl w:ilvl="1">
      <w:start w:val="1"/>
      <w:numFmt w:val="bullet"/>
      <w:lvlText w:val="o"/>
      <w:lvlJc w:val="left"/>
      <w:pPr>
        <w:tabs>
          <w:tab w:val="num" w:pos="0"/>
        </w:tabs>
        <w:ind w:left="2781" w:hanging="360"/>
      </w:pPr>
      <w:rPr>
        <w:rFonts w:ascii="Courier New" w:hAnsi="Courier New" w:cs="Courier New" w:hint="default"/>
      </w:rPr>
    </w:lvl>
    <w:lvl w:ilvl="2">
      <w:start w:val="1"/>
      <w:numFmt w:val="bullet"/>
      <w:lvlText w:val=""/>
      <w:lvlJc w:val="left"/>
      <w:pPr>
        <w:tabs>
          <w:tab w:val="num" w:pos="0"/>
        </w:tabs>
        <w:ind w:left="3501" w:hanging="360"/>
      </w:pPr>
      <w:rPr>
        <w:rFonts w:ascii="Wingdings" w:hAnsi="Wingdings" w:cs="Wingdings" w:hint="default"/>
      </w:rPr>
    </w:lvl>
    <w:lvl w:ilvl="3">
      <w:start w:val="1"/>
      <w:numFmt w:val="bullet"/>
      <w:lvlText w:val=""/>
      <w:lvlJc w:val="left"/>
      <w:pPr>
        <w:tabs>
          <w:tab w:val="num" w:pos="0"/>
        </w:tabs>
        <w:ind w:left="4221" w:hanging="360"/>
      </w:pPr>
      <w:rPr>
        <w:rFonts w:ascii="Symbol" w:hAnsi="Symbol" w:cs="Symbol" w:hint="default"/>
      </w:rPr>
    </w:lvl>
    <w:lvl w:ilvl="4">
      <w:start w:val="1"/>
      <w:numFmt w:val="bullet"/>
      <w:lvlText w:val="o"/>
      <w:lvlJc w:val="left"/>
      <w:pPr>
        <w:tabs>
          <w:tab w:val="num" w:pos="0"/>
        </w:tabs>
        <w:ind w:left="4941" w:hanging="360"/>
      </w:pPr>
      <w:rPr>
        <w:rFonts w:ascii="Courier New" w:hAnsi="Courier New" w:cs="Courier New" w:hint="default"/>
      </w:rPr>
    </w:lvl>
    <w:lvl w:ilvl="5">
      <w:start w:val="1"/>
      <w:numFmt w:val="bullet"/>
      <w:lvlText w:val=""/>
      <w:lvlJc w:val="left"/>
      <w:pPr>
        <w:tabs>
          <w:tab w:val="num" w:pos="0"/>
        </w:tabs>
        <w:ind w:left="5661" w:hanging="360"/>
      </w:pPr>
      <w:rPr>
        <w:rFonts w:ascii="Wingdings" w:hAnsi="Wingdings" w:cs="Wingdings" w:hint="default"/>
      </w:rPr>
    </w:lvl>
    <w:lvl w:ilvl="6">
      <w:start w:val="1"/>
      <w:numFmt w:val="bullet"/>
      <w:lvlText w:val=""/>
      <w:lvlJc w:val="left"/>
      <w:pPr>
        <w:tabs>
          <w:tab w:val="num" w:pos="0"/>
        </w:tabs>
        <w:ind w:left="6381" w:hanging="360"/>
      </w:pPr>
      <w:rPr>
        <w:rFonts w:ascii="Symbol" w:hAnsi="Symbol" w:cs="Symbol" w:hint="default"/>
      </w:rPr>
    </w:lvl>
    <w:lvl w:ilvl="7">
      <w:start w:val="1"/>
      <w:numFmt w:val="bullet"/>
      <w:lvlText w:val="o"/>
      <w:lvlJc w:val="left"/>
      <w:pPr>
        <w:tabs>
          <w:tab w:val="num" w:pos="0"/>
        </w:tabs>
        <w:ind w:left="7101" w:hanging="360"/>
      </w:pPr>
      <w:rPr>
        <w:rFonts w:ascii="Courier New" w:hAnsi="Courier New" w:cs="Courier New" w:hint="default"/>
      </w:rPr>
    </w:lvl>
    <w:lvl w:ilvl="8">
      <w:start w:val="1"/>
      <w:numFmt w:val="bullet"/>
      <w:lvlText w:val=""/>
      <w:lvlJc w:val="left"/>
      <w:pPr>
        <w:tabs>
          <w:tab w:val="num" w:pos="0"/>
        </w:tabs>
        <w:ind w:left="7821" w:hanging="360"/>
      </w:pPr>
      <w:rPr>
        <w:rFonts w:ascii="Wingdings" w:hAnsi="Wingdings" w:cs="Wingdings" w:hint="default"/>
      </w:rPr>
    </w:lvl>
  </w:abstractNum>
  <w:abstractNum w:abstractNumId="19">
    <w:lvl w:ilvl="0">
      <w:start w:val="1"/>
      <w:numFmt w:val="bullet"/>
      <w:lvlText w:val=""/>
      <w:lvlJc w:val="left"/>
      <w:pPr>
        <w:tabs>
          <w:tab w:val="num" w:pos="720"/>
        </w:tabs>
        <w:ind w:left="720" w:hanging="360"/>
      </w:pPr>
      <w:rPr>
        <w:rFonts w:ascii="Symbol" w:hAnsi="Symbol" w:cs="Symbol" w:hint="default"/>
        <w:sz w:val="16"/>
        <w:szCs w:val="16"/>
        <w:lan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numFmt w:val="bullet"/>
      <w:lvlText w:val="–"/>
      <w:lvlJc w:val="left"/>
      <w:pPr>
        <w:tabs>
          <w:tab w:val="num" w:pos="0"/>
        </w:tabs>
        <w:ind w:left="858" w:hanging="567"/>
      </w:pPr>
      <w:rPr>
        <w:rFonts w:ascii="Times New Roman" w:hAnsi="Times New Roman" w:cs="Times New Roman" w:hint="default"/>
        <w:sz w:val="22"/>
        <w:i w:val="false"/>
        <w:b w:val="false"/>
        <w:szCs w:val="22"/>
        <w:iCs w:val="false"/>
        <w:bCs w:val="false"/>
        <w:w w:val="100"/>
        <w:lang w:eastAsia="en-US" w:bidi="ar-SA"/>
      </w:rPr>
    </w:lvl>
    <w:lvl w:ilvl="1">
      <w:start w:val="0"/>
      <w:numFmt w:val="bullet"/>
      <w:lvlText w:val=""/>
      <w:lvlJc w:val="left"/>
      <w:pPr>
        <w:tabs>
          <w:tab w:val="num" w:pos="0"/>
        </w:tabs>
        <w:ind w:left="1011" w:hanging="360"/>
      </w:pPr>
      <w:rPr>
        <w:rFonts w:ascii="Symbol" w:hAnsi="Symbol" w:cs="Symbol" w:hint="default"/>
        <w:sz w:val="22"/>
        <w:i w:val="false"/>
        <w:b w:val="false"/>
        <w:szCs w:val="22"/>
        <w:iCs w:val="false"/>
        <w:bCs w:val="false"/>
        <w:w w:val="100"/>
        <w:lang w:eastAsia="en-US" w:bidi="ar-SA"/>
      </w:rPr>
    </w:lvl>
    <w:lvl w:ilvl="2">
      <w:start w:val="0"/>
      <w:numFmt w:val="bullet"/>
      <w:lvlText w:val=""/>
      <w:lvlJc w:val="left"/>
      <w:pPr>
        <w:tabs>
          <w:tab w:val="num" w:pos="0"/>
        </w:tabs>
        <w:ind w:left="1380" w:hanging="360"/>
      </w:pPr>
      <w:rPr>
        <w:rFonts w:ascii="Symbol" w:hAnsi="Symbol" w:cs="Symbol" w:hint="default"/>
        <w:lang w:eastAsia="en-US" w:bidi="ar-SA"/>
      </w:rPr>
    </w:lvl>
    <w:lvl w:ilvl="3">
      <w:start w:val="0"/>
      <w:numFmt w:val="bullet"/>
      <w:lvlText w:val=""/>
      <w:lvlJc w:val="left"/>
      <w:pPr>
        <w:tabs>
          <w:tab w:val="num" w:pos="0"/>
        </w:tabs>
        <w:ind w:left="2530" w:hanging="360"/>
      </w:pPr>
      <w:rPr>
        <w:rFonts w:ascii="Symbol" w:hAnsi="Symbol" w:cs="Symbol" w:hint="default"/>
        <w:lang w:eastAsia="en-US" w:bidi="ar-SA"/>
      </w:rPr>
    </w:lvl>
    <w:lvl w:ilvl="4">
      <w:start w:val="0"/>
      <w:numFmt w:val="bullet"/>
      <w:lvlText w:val=""/>
      <w:lvlJc w:val="left"/>
      <w:pPr>
        <w:tabs>
          <w:tab w:val="num" w:pos="0"/>
        </w:tabs>
        <w:ind w:left="3681" w:hanging="360"/>
      </w:pPr>
      <w:rPr>
        <w:rFonts w:ascii="Symbol" w:hAnsi="Symbol" w:cs="Symbol" w:hint="default"/>
        <w:lang w:eastAsia="en-US" w:bidi="ar-SA"/>
      </w:rPr>
    </w:lvl>
    <w:lvl w:ilvl="5">
      <w:start w:val="0"/>
      <w:numFmt w:val="bullet"/>
      <w:lvlText w:val=""/>
      <w:lvlJc w:val="left"/>
      <w:pPr>
        <w:tabs>
          <w:tab w:val="num" w:pos="0"/>
        </w:tabs>
        <w:ind w:left="4832" w:hanging="360"/>
      </w:pPr>
      <w:rPr>
        <w:rFonts w:ascii="Symbol" w:hAnsi="Symbol" w:cs="Symbol" w:hint="default"/>
        <w:lang w:eastAsia="en-US" w:bidi="ar-SA"/>
      </w:rPr>
    </w:lvl>
    <w:lvl w:ilvl="6">
      <w:start w:val="0"/>
      <w:numFmt w:val="bullet"/>
      <w:lvlText w:val=""/>
      <w:lvlJc w:val="left"/>
      <w:pPr>
        <w:tabs>
          <w:tab w:val="num" w:pos="0"/>
        </w:tabs>
        <w:ind w:left="5983" w:hanging="360"/>
      </w:pPr>
      <w:rPr>
        <w:rFonts w:ascii="Symbol" w:hAnsi="Symbol" w:cs="Symbol" w:hint="default"/>
        <w:lang w:eastAsia="en-US" w:bidi="ar-SA"/>
      </w:rPr>
    </w:lvl>
    <w:lvl w:ilvl="7">
      <w:start w:val="0"/>
      <w:numFmt w:val="bullet"/>
      <w:lvlText w:val=""/>
      <w:lvlJc w:val="left"/>
      <w:pPr>
        <w:tabs>
          <w:tab w:val="num" w:pos="0"/>
        </w:tabs>
        <w:ind w:left="7134" w:hanging="360"/>
      </w:pPr>
      <w:rPr>
        <w:rFonts w:ascii="Symbol" w:hAnsi="Symbol" w:cs="Symbol" w:hint="default"/>
        <w:lang w:eastAsia="en-US" w:bidi="ar-SA"/>
      </w:rPr>
    </w:lvl>
    <w:lvl w:ilvl="8">
      <w:start w:val="0"/>
      <w:numFmt w:val="bullet"/>
      <w:lvlText w:val=""/>
      <w:lvlJc w:val="left"/>
      <w:pPr>
        <w:tabs>
          <w:tab w:val="num" w:pos="0"/>
        </w:tabs>
        <w:ind w:left="8284" w:hanging="360"/>
      </w:pPr>
      <w:rPr>
        <w:rFonts w:ascii="Symbol" w:hAnsi="Symbol" w:cs="Symbol" w:hint="default"/>
        <w:lang w:eastAsia="en-US" w:bidi="ar-SA"/>
      </w:rPr>
    </w:lvl>
  </w:abstractNum>
  <w:abstractNum w:abstractNumId="21">
    <w:lvl w:ilvl="0">
      <w:numFmt w:val="bullet"/>
      <w:lvlText w:val=""/>
      <w:lvlJc w:val="left"/>
      <w:pPr>
        <w:tabs>
          <w:tab w:val="num" w:pos="0"/>
        </w:tabs>
        <w:ind w:left="1054" w:hanging="360"/>
      </w:pPr>
      <w:rPr>
        <w:rFonts w:ascii="Wingdings" w:hAnsi="Wingdings" w:cs="Wingdings" w:hint="default"/>
        <w:sz w:val="22"/>
        <w:i w:val="false"/>
        <w:b w:val="false"/>
        <w:szCs w:val="22"/>
        <w:iCs w:val="false"/>
        <w:bCs w:val="false"/>
        <w:w w:val="100"/>
        <w:lang w:eastAsia="en-US" w:bidi="ar-SA"/>
      </w:rPr>
    </w:lvl>
    <w:lvl w:ilvl="1">
      <w:start w:val="0"/>
      <w:numFmt w:val="bullet"/>
      <w:lvlText w:val=""/>
      <w:lvlJc w:val="left"/>
      <w:pPr>
        <w:tabs>
          <w:tab w:val="num" w:pos="0"/>
        </w:tabs>
        <w:ind w:left="1984" w:hanging="360"/>
      </w:pPr>
      <w:rPr>
        <w:rFonts w:ascii="Symbol" w:hAnsi="Symbol" w:cs="Symbol" w:hint="default"/>
        <w:lang w:eastAsia="en-US" w:bidi="ar-SA"/>
      </w:rPr>
    </w:lvl>
    <w:lvl w:ilvl="2">
      <w:start w:val="0"/>
      <w:numFmt w:val="bullet"/>
      <w:lvlText w:val=""/>
      <w:lvlJc w:val="left"/>
      <w:pPr>
        <w:tabs>
          <w:tab w:val="num" w:pos="0"/>
        </w:tabs>
        <w:ind w:left="2909" w:hanging="360"/>
      </w:pPr>
      <w:rPr>
        <w:rFonts w:ascii="Symbol" w:hAnsi="Symbol" w:cs="Symbol" w:hint="default"/>
        <w:lang w:eastAsia="en-US" w:bidi="ar-SA"/>
      </w:rPr>
    </w:lvl>
    <w:lvl w:ilvl="3">
      <w:start w:val="0"/>
      <w:numFmt w:val="bullet"/>
      <w:lvlText w:val=""/>
      <w:lvlJc w:val="left"/>
      <w:pPr>
        <w:tabs>
          <w:tab w:val="num" w:pos="0"/>
        </w:tabs>
        <w:ind w:left="3834" w:hanging="360"/>
      </w:pPr>
      <w:rPr>
        <w:rFonts w:ascii="Symbol" w:hAnsi="Symbol" w:cs="Symbol" w:hint="default"/>
        <w:lang w:eastAsia="en-US" w:bidi="ar-SA"/>
      </w:rPr>
    </w:lvl>
    <w:lvl w:ilvl="4">
      <w:start w:val="0"/>
      <w:numFmt w:val="bullet"/>
      <w:lvlText w:val=""/>
      <w:lvlJc w:val="left"/>
      <w:pPr>
        <w:tabs>
          <w:tab w:val="num" w:pos="0"/>
        </w:tabs>
        <w:ind w:left="4758" w:hanging="360"/>
      </w:pPr>
      <w:rPr>
        <w:rFonts w:ascii="Symbol" w:hAnsi="Symbol" w:cs="Symbol" w:hint="default"/>
        <w:lang w:eastAsia="en-US" w:bidi="ar-SA"/>
      </w:rPr>
    </w:lvl>
    <w:lvl w:ilvl="5">
      <w:start w:val="0"/>
      <w:numFmt w:val="bullet"/>
      <w:lvlText w:val=""/>
      <w:lvlJc w:val="left"/>
      <w:pPr>
        <w:tabs>
          <w:tab w:val="num" w:pos="0"/>
        </w:tabs>
        <w:ind w:left="5683" w:hanging="360"/>
      </w:pPr>
      <w:rPr>
        <w:rFonts w:ascii="Symbol" w:hAnsi="Symbol" w:cs="Symbol" w:hint="default"/>
        <w:lang w:eastAsia="en-US" w:bidi="ar-SA"/>
      </w:rPr>
    </w:lvl>
    <w:lvl w:ilvl="6">
      <w:start w:val="0"/>
      <w:numFmt w:val="bullet"/>
      <w:lvlText w:val=""/>
      <w:lvlJc w:val="left"/>
      <w:pPr>
        <w:tabs>
          <w:tab w:val="num" w:pos="0"/>
        </w:tabs>
        <w:ind w:left="6608" w:hanging="360"/>
      </w:pPr>
      <w:rPr>
        <w:rFonts w:ascii="Symbol" w:hAnsi="Symbol" w:cs="Symbol" w:hint="default"/>
        <w:lang w:eastAsia="en-US" w:bidi="ar-SA"/>
      </w:rPr>
    </w:lvl>
    <w:lvl w:ilvl="7">
      <w:start w:val="0"/>
      <w:numFmt w:val="bullet"/>
      <w:lvlText w:val=""/>
      <w:lvlJc w:val="left"/>
      <w:pPr>
        <w:tabs>
          <w:tab w:val="num" w:pos="0"/>
        </w:tabs>
        <w:ind w:left="7532" w:hanging="360"/>
      </w:pPr>
      <w:rPr>
        <w:rFonts w:ascii="Symbol" w:hAnsi="Symbol" w:cs="Symbol" w:hint="default"/>
        <w:lang w:eastAsia="en-US" w:bidi="ar-SA"/>
      </w:rPr>
    </w:lvl>
    <w:lvl w:ilvl="8">
      <w:start w:val="0"/>
      <w:numFmt w:val="bullet"/>
      <w:lvlText w:val=""/>
      <w:lvlJc w:val="left"/>
      <w:pPr>
        <w:tabs>
          <w:tab w:val="num" w:pos="0"/>
        </w:tabs>
        <w:ind w:left="8457" w:hanging="360"/>
      </w:pPr>
      <w:rPr>
        <w:rFonts w:ascii="Symbol" w:hAnsi="Symbol" w:cs="Symbol" w:hint="default"/>
        <w:lang w:eastAsia="en-US" w:bidi="ar-SA"/>
      </w:rPr>
    </w:lvl>
  </w:abstractNum>
  <w:abstractNum w:abstractNumId="22">
    <w:lvl w:ilvl="0">
      <w:start w:val="1"/>
      <w:numFmt w:val="bullet"/>
      <w:lvlText w:val="o"/>
      <w:lvlJc w:val="left"/>
      <w:pPr>
        <w:tabs>
          <w:tab w:val="num" w:pos="0"/>
        </w:tabs>
        <w:ind w:left="720" w:hanging="360"/>
      </w:pPr>
      <w:rPr>
        <w:rFonts w:ascii="Courier New" w:hAnsi="Courier New" w:cs="Courier New" w:hint="default"/>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5">
    <w:lvl w:ilvl="0">
      <w:numFmt w:val="bullet"/>
      <w:lvlText w:val=""/>
      <w:lvlJc w:val="left"/>
      <w:pPr>
        <w:tabs>
          <w:tab w:val="num" w:pos="340"/>
        </w:tabs>
        <w:ind w:left="0" w:firstLine="113"/>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lvl w:ilvl="0">
      <w:numFmt w:val="bullet"/>
      <w:lvlText w:val=""/>
      <w:lvlJc w:val="left"/>
      <w:pPr>
        <w:tabs>
          <w:tab w:val="num" w:pos="340"/>
        </w:tabs>
        <w:ind w:left="0" w:firstLine="113"/>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lvl w:ilvl="0">
      <w:start w:val="1"/>
      <w:numFmt w:val="bullet"/>
      <w:lvlText w:val="o"/>
      <w:lvlJc w:val="left"/>
      <w:pPr>
        <w:tabs>
          <w:tab w:val="num" w:pos="567"/>
        </w:tabs>
        <w:ind w:left="567" w:hanging="567"/>
      </w:pPr>
      <w:rPr>
        <w:rFonts w:ascii="Courier New" w:hAnsi="Courier New" w:cs="Courier New" w:hint="default"/>
      </w:rPr>
    </w:lvl>
    <w:lvl w:ilvl="1">
      <w:start w:val="1"/>
      <w:numFmt w:val="bullet"/>
      <w:lvlText w:val=""/>
      <w:lvlJc w:val="left"/>
      <w:pPr>
        <w:tabs>
          <w:tab w:val="num" w:pos="2160"/>
        </w:tabs>
        <w:ind w:left="2160" w:hanging="360"/>
      </w:pPr>
      <w:rPr>
        <w:rFonts w:ascii="Symbol" w:hAnsi="Symbol" w:cs="Symbol" w:hint="default"/>
      </w:rPr>
    </w:lvl>
    <w:lvl w:ilvl="2">
      <w:start w:val="1"/>
      <w:numFmt w:val="bullet"/>
      <w:lvlText w:val=""/>
      <w:lvlJc w:val="left"/>
      <w:pPr>
        <w:tabs>
          <w:tab w:val="num" w:pos="567"/>
        </w:tabs>
        <w:ind w:left="567" w:hanging="567"/>
      </w:pPr>
      <w:rPr>
        <w:rFonts w:ascii="Symbol" w:hAnsi="Symbol" w:cs="Symbol"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8">
    <w:lvl w:ilvl="0">
      <w:start w:val="1"/>
      <w:numFmt w:val="bullet"/>
      <w:lvlText w:val=""/>
      <w:lvlJc w:val="left"/>
      <w:pPr>
        <w:tabs>
          <w:tab w:val="num" w:pos="567"/>
        </w:tabs>
        <w:ind w:left="567" w:hanging="567"/>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lvl w:ilvl="0">
      <w:numFmt w:val="bullet"/>
      <w:lvlText w:val=""/>
      <w:lvlJc w:val="left"/>
      <w:pPr>
        <w:tabs>
          <w:tab w:val="num" w:pos="227"/>
        </w:tabs>
        <w:ind w:left="-113" w:firstLine="113"/>
      </w:pPr>
      <w:rPr>
        <w:rFonts w:ascii="Wingdings" w:hAnsi="Wingdings" w:cs="Wingdings" w:hint="default"/>
      </w:rPr>
    </w:lvl>
    <w:lvl w:ilvl="1">
      <w:start w:val="1"/>
      <w:numFmt w:val="bullet"/>
      <w:lvlText w:val="o"/>
      <w:lvlJc w:val="left"/>
      <w:pPr>
        <w:tabs>
          <w:tab w:val="num" w:pos="1327"/>
        </w:tabs>
        <w:ind w:left="1327" w:hanging="360"/>
      </w:pPr>
      <w:rPr>
        <w:rFonts w:ascii="Courier New" w:hAnsi="Courier New" w:cs="Courier New" w:hint="default"/>
      </w:rPr>
    </w:lvl>
    <w:lvl w:ilvl="2">
      <w:start w:val="1"/>
      <w:numFmt w:val="bullet"/>
      <w:lvlText w:val=""/>
      <w:lvlJc w:val="left"/>
      <w:pPr>
        <w:tabs>
          <w:tab w:val="num" w:pos="2047"/>
        </w:tabs>
        <w:ind w:left="2047" w:hanging="360"/>
      </w:pPr>
      <w:rPr>
        <w:rFonts w:ascii="Wingdings" w:hAnsi="Wingdings" w:cs="Wingdings" w:hint="default"/>
      </w:rPr>
    </w:lvl>
    <w:lvl w:ilvl="3">
      <w:start w:val="1"/>
      <w:numFmt w:val="bullet"/>
      <w:lvlText w:val=""/>
      <w:lvlJc w:val="left"/>
      <w:pPr>
        <w:tabs>
          <w:tab w:val="num" w:pos="2767"/>
        </w:tabs>
        <w:ind w:left="2767" w:hanging="360"/>
      </w:pPr>
      <w:rPr>
        <w:rFonts w:ascii="Symbol" w:hAnsi="Symbol" w:cs="Symbol" w:hint="default"/>
      </w:rPr>
    </w:lvl>
    <w:lvl w:ilvl="4">
      <w:start w:val="1"/>
      <w:numFmt w:val="bullet"/>
      <w:lvlText w:val="o"/>
      <w:lvlJc w:val="left"/>
      <w:pPr>
        <w:tabs>
          <w:tab w:val="num" w:pos="3487"/>
        </w:tabs>
        <w:ind w:left="3487" w:hanging="360"/>
      </w:pPr>
      <w:rPr>
        <w:rFonts w:ascii="Courier New" w:hAnsi="Courier New" w:cs="Courier New" w:hint="default"/>
      </w:rPr>
    </w:lvl>
    <w:lvl w:ilvl="5">
      <w:start w:val="1"/>
      <w:numFmt w:val="bullet"/>
      <w:lvlText w:val=""/>
      <w:lvlJc w:val="left"/>
      <w:pPr>
        <w:tabs>
          <w:tab w:val="num" w:pos="4207"/>
        </w:tabs>
        <w:ind w:left="4207" w:hanging="360"/>
      </w:pPr>
      <w:rPr>
        <w:rFonts w:ascii="Wingdings" w:hAnsi="Wingdings" w:cs="Wingdings" w:hint="default"/>
      </w:rPr>
    </w:lvl>
    <w:lvl w:ilvl="6">
      <w:start w:val="1"/>
      <w:numFmt w:val="bullet"/>
      <w:lvlText w:val=""/>
      <w:lvlJc w:val="left"/>
      <w:pPr>
        <w:tabs>
          <w:tab w:val="num" w:pos="4927"/>
        </w:tabs>
        <w:ind w:left="4927" w:hanging="360"/>
      </w:pPr>
      <w:rPr>
        <w:rFonts w:ascii="Symbol" w:hAnsi="Symbol" w:cs="Symbol" w:hint="default"/>
      </w:rPr>
    </w:lvl>
    <w:lvl w:ilvl="7">
      <w:start w:val="1"/>
      <w:numFmt w:val="bullet"/>
      <w:lvlText w:val="o"/>
      <w:lvlJc w:val="left"/>
      <w:pPr>
        <w:tabs>
          <w:tab w:val="num" w:pos="5647"/>
        </w:tabs>
        <w:ind w:left="5647" w:hanging="360"/>
      </w:pPr>
      <w:rPr>
        <w:rFonts w:ascii="Courier New" w:hAnsi="Courier New" w:cs="Courier New" w:hint="default"/>
      </w:rPr>
    </w:lvl>
    <w:lvl w:ilvl="8">
      <w:start w:val="1"/>
      <w:numFmt w:val="bullet"/>
      <w:lvlText w:val=""/>
      <w:lvlJc w:val="left"/>
      <w:pPr>
        <w:tabs>
          <w:tab w:val="num" w:pos="6367"/>
        </w:tabs>
        <w:ind w:left="6367" w:hanging="360"/>
      </w:pPr>
      <w:rPr>
        <w:rFonts w:ascii="Wingdings" w:hAnsi="Wingdings" w:cs="Wingdings"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w:zoom w:percent="100"/>
  <w:embedSystemFonts/>
  <w:defaultTabStop w:val="720"/>
  <w:autoHyphenation w:val="true"/>
  <w:evenAndOddHeader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279c"/>
    <w:pPr>
      <w:widowControl/>
      <w:suppressAutoHyphens w:val="true"/>
      <w:bidi w:val="0"/>
      <w:spacing w:before="0" w:after="0"/>
      <w:jc w:val="both"/>
    </w:pPr>
    <w:rPr>
      <w:rFonts w:ascii="Times New Roman" w:hAnsi="Times New Roman" w:eastAsia="" w:cs="Times New Roman" w:eastAsiaTheme="minorEastAsia"/>
      <w:color w:val="auto"/>
      <w:kern w:val="0"/>
      <w:sz w:val="24"/>
      <w:szCs w:val="22"/>
      <w:lang w:val="en-US" w:eastAsia="en-US" w:bidi="ar-SA"/>
    </w:rPr>
  </w:style>
  <w:style w:type="paragraph" w:styleId="Heading2">
    <w:name w:val="Heading 2"/>
    <w:basedOn w:val="Heading"/>
    <w:next w:val="TextBody"/>
    <w:qFormat/>
    <w:pPr>
      <w:numPr>
        <w:ilvl w:val="1"/>
        <w:numId w:val="1"/>
      </w:numPr>
      <w:spacing w:before="200" w:after="120"/>
      <w:outlineLvl w:val="1"/>
    </w:pPr>
    <w:rPr>
      <w:rFonts w:ascii="Liberation Serif" w:hAnsi="Liberation Serif" w:eastAsia="Segoe UI" w:cs="Tahoma"/>
      <w:b/>
      <w:bCs/>
      <w:sz w:val="36"/>
      <w:szCs w:val="36"/>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qFormat/>
    <w:rsid w:val="00c93bb3"/>
    <w:rPr>
      <w:rFonts w:cs="Times New Roman"/>
      <w:color w:val="0000FF" w:themeColor="hyperlink"/>
      <w:u w:val="single"/>
    </w:rPr>
  </w:style>
  <w:style w:type="character" w:styleId="FooterChar" w:customStyle="1">
    <w:name w:val="Footer Char"/>
    <w:basedOn w:val="DefaultParagraphFont"/>
    <w:link w:val="Footer"/>
    <w:uiPriority w:val="99"/>
    <w:qFormat/>
    <w:locked/>
    <w:rsid w:val="00c93bb3"/>
    <w:rPr>
      <w:rFonts w:cs="Times New Roman"/>
    </w:rPr>
  </w:style>
  <w:style w:type="character" w:styleId="HeaderChar" w:customStyle="1">
    <w:name w:val="Header Char"/>
    <w:basedOn w:val="DefaultParagraphFont"/>
    <w:link w:val="Header"/>
    <w:uiPriority w:val="99"/>
    <w:qFormat/>
    <w:locked/>
    <w:rsid w:val="00c93bb3"/>
    <w:rPr>
      <w:rFonts w:cs="Times New Roman"/>
    </w:rPr>
  </w:style>
  <w:style w:type="character" w:styleId="BalloonTextChar" w:customStyle="1">
    <w:name w:val="Balloon Text Char"/>
    <w:basedOn w:val="DefaultParagraphFont"/>
    <w:link w:val="BalloonText"/>
    <w:uiPriority w:val="99"/>
    <w:semiHidden/>
    <w:qFormat/>
    <w:locked/>
    <w:rsid w:val="00c93bb3"/>
    <w:rPr>
      <w:rFonts w:ascii="Tahoma" w:hAnsi="Tahoma" w:cs="Tahoma"/>
      <w:sz w:val="16"/>
      <w:szCs w:val="16"/>
    </w:rPr>
  </w:style>
  <w:style w:type="character" w:styleId="ListParagraphChar" w:customStyle="1">
    <w:name w:val="List Paragraph Char"/>
    <w:link w:val="ListParagraph"/>
    <w:qFormat/>
    <w:locked/>
    <w:rsid w:val="007a5b66"/>
    <w:rPr>
      <w:rFonts w:eastAsia="" w:eastAsiaTheme="minorEastAsia"/>
      <w:sz w:val="24"/>
      <w:szCs w:val="24"/>
      <w:lang w:val="en-GB"/>
    </w:rPr>
  </w:style>
  <w:style w:type="character" w:styleId="FootnoteCharacters" w:customStyle="1">
    <w:name w:val="Footnote Characters"/>
    <w:semiHidden/>
    <w:qFormat/>
    <w:rsid w:val="00684a52"/>
    <w:rPr>
      <w:vertAlign w:val="superscript"/>
    </w:rPr>
  </w:style>
  <w:style w:type="character" w:styleId="FootnoteAnchor" w:customStyle="1">
    <w:name w:val="Footnote Anchor"/>
    <w:rsid w:val="00c93bb3"/>
    <w:rPr>
      <w:vertAlign w:val="superscript"/>
    </w:rPr>
  </w:style>
  <w:style w:type="character" w:styleId="FootnoteTextChar" w:customStyle="1">
    <w:name w:val="Footnote Text Char"/>
    <w:basedOn w:val="DefaultParagraphFont"/>
    <w:link w:val="FootnoteText"/>
    <w:qFormat/>
    <w:rsid w:val="008075fb"/>
    <w:rPr>
      <w:rFonts w:eastAsia="Lucida Sans Unicode"/>
      <w:kern w:val="2"/>
      <w:lang w:eastAsia="ar-SA"/>
    </w:rPr>
  </w:style>
  <w:style w:type="character" w:styleId="Style1Char" w:customStyle="1">
    <w:name w:val="Style1 Char"/>
    <w:link w:val="Style1"/>
    <w:qFormat/>
    <w:locked/>
    <w:rsid w:val="00350a5f"/>
    <w:rPr>
      <w:rFonts w:ascii="Lucida Sans Unicode" w:hAnsi="Lucida Sans Unicode" w:eastAsia="Lucida Sans Unicode" w:cs="Lucida Sans Unicode"/>
      <w:kern w:val="2"/>
      <w:sz w:val="24"/>
      <w:szCs w:val="24"/>
      <w:lang w:eastAsia="ar-SA"/>
    </w:rPr>
  </w:style>
  <w:style w:type="character" w:styleId="FontStyle181" w:customStyle="1">
    <w:name w:val="Font Style181"/>
    <w:qFormat/>
    <w:rsid w:val="00ef5cce"/>
    <w:rPr>
      <w:rFonts w:ascii="Times New Roman" w:hAnsi="Times New Roman" w:cs="Times New Roman"/>
      <w:sz w:val="22"/>
      <w:szCs w:val="22"/>
    </w:rPr>
  </w:style>
  <w:style w:type="character" w:styleId="BodyTextIndentChar" w:customStyle="1">
    <w:name w:val="Body Text Indent Char"/>
    <w:basedOn w:val="DefaultParagraphFont"/>
    <w:link w:val="BodyTextIndent"/>
    <w:uiPriority w:val="99"/>
    <w:semiHidden/>
    <w:qFormat/>
    <w:rsid w:val="00684a52"/>
    <w:rPr>
      <w:rFonts w:eastAsia="" w:eastAsiaTheme="minorEastAsia"/>
      <w:sz w:val="24"/>
      <w:szCs w:val="22"/>
    </w:rPr>
  </w:style>
  <w:style w:type="character" w:styleId="NoSpacingChar" w:customStyle="1">
    <w:name w:val="No Spacing Char"/>
    <w:link w:val="NoSpacing"/>
    <w:qFormat/>
    <w:locked/>
    <w:rsid w:val="002c75f1"/>
    <w:rPr>
      <w:rFonts w:ascii="Calibri" w:hAnsi="Calibri" w:eastAsia="Calibri"/>
      <w:sz w:val="22"/>
      <w:szCs w:val="22"/>
      <w:lang w:val="sr-Latn-CS"/>
    </w:rPr>
  </w:style>
  <w:style w:type="character" w:styleId="Bullets" w:customStyle="1">
    <w:name w:val="Bullets"/>
    <w:qFormat/>
    <w:rsid w:val="00c93bb3"/>
    <w:rPr>
      <w:rFonts w:ascii="OpenSymbol" w:hAnsi="OpenSymbol" w:eastAsia="OpenSymbol" w:cs="OpenSymbol"/>
    </w:rPr>
  </w:style>
  <w:style w:type="character" w:styleId="NumberingSymbols" w:customStyle="1">
    <w:name w:val="Numbering Symbols"/>
    <w:qFormat/>
    <w:rsid w:val="00c93bb3"/>
    <w:rPr/>
  </w:style>
  <w:style w:type="character" w:styleId="EndnoteAnchor" w:customStyle="1">
    <w:name w:val="Endnote Anchor"/>
    <w:rsid w:val="00c93bb3"/>
    <w:rPr>
      <w:vertAlign w:val="superscript"/>
    </w:rPr>
  </w:style>
  <w:style w:type="character" w:styleId="EndnoteCharacters" w:customStyle="1">
    <w:name w:val="Endnote Characters"/>
    <w:qFormat/>
    <w:rsid w:val="00c93bb3"/>
    <w:rPr/>
  </w:style>
  <w:style w:type="character" w:styleId="WW8Num14z0" w:customStyle="1">
    <w:name w:val="WW8Num14z0"/>
    <w:qFormat/>
    <w:rsid w:val="00c93bb3"/>
    <w:rPr>
      <w:rFonts w:eastAsia="Times;Times New Roman" w:cs="Times New Roman"/>
      <w:b/>
      <w:color w:val="000000"/>
      <w:sz w:val="24"/>
      <w:szCs w:val="24"/>
    </w:rPr>
  </w:style>
  <w:style w:type="character" w:styleId="WW8Num14z1" w:customStyle="1">
    <w:name w:val="WW8Num14z1"/>
    <w:qFormat/>
    <w:rsid w:val="00c93bb3"/>
    <w:rPr>
      <w:b/>
      <w:sz w:val="24"/>
      <w:szCs w:val="24"/>
    </w:rPr>
  </w:style>
  <w:style w:type="character" w:styleId="WW8Num14z2" w:customStyle="1">
    <w:name w:val="WW8Num14z2"/>
    <w:qFormat/>
    <w:rsid w:val="00c93bb3"/>
    <w:rPr/>
  </w:style>
  <w:style w:type="character" w:styleId="WW8Num14z3" w:customStyle="1">
    <w:name w:val="WW8Num14z3"/>
    <w:qFormat/>
    <w:rsid w:val="00c93bb3"/>
    <w:rPr>
      <w:rFonts w:eastAsia="SimSun;宋体" w:cs="Times New Roman"/>
      <w:b/>
      <w:bCs/>
      <w:color w:val="000000"/>
      <w:sz w:val="24"/>
      <w:szCs w:val="24"/>
      <w:lang w:eastAsia="ar-SA"/>
    </w:rPr>
  </w:style>
  <w:style w:type="character" w:styleId="WW8Num14z4" w:customStyle="1">
    <w:name w:val="WW8Num14z4"/>
    <w:qFormat/>
    <w:rsid w:val="00c93bb3"/>
    <w:rPr/>
  </w:style>
  <w:style w:type="character" w:styleId="WW8Num14z5" w:customStyle="1">
    <w:name w:val="WW8Num14z5"/>
    <w:qFormat/>
    <w:rsid w:val="00c93bb3"/>
    <w:rPr/>
  </w:style>
  <w:style w:type="character" w:styleId="WW8Num14z6" w:customStyle="1">
    <w:name w:val="WW8Num14z6"/>
    <w:qFormat/>
    <w:rsid w:val="00c93bb3"/>
    <w:rPr/>
  </w:style>
  <w:style w:type="character" w:styleId="WW8Num14z7" w:customStyle="1">
    <w:name w:val="WW8Num14z7"/>
    <w:qFormat/>
    <w:rsid w:val="00c93bb3"/>
    <w:rPr/>
  </w:style>
  <w:style w:type="character" w:styleId="WW8Num14z8" w:customStyle="1">
    <w:name w:val="WW8Num14z8"/>
    <w:qFormat/>
    <w:rsid w:val="00c93bb3"/>
    <w:rPr/>
  </w:style>
  <w:style w:type="character" w:styleId="BodyText2Char" w:customStyle="1">
    <w:name w:val="Body Text 2 Char"/>
    <w:basedOn w:val="DefaultParagraphFont"/>
    <w:link w:val="BodyText2"/>
    <w:uiPriority w:val="99"/>
    <w:semiHidden/>
    <w:qFormat/>
    <w:rsid w:val="00c41635"/>
    <w:rPr>
      <w:rFonts w:eastAsia="" w:eastAsiaTheme="minorEastAsia"/>
      <w:sz w:val="24"/>
      <w:szCs w:val="22"/>
    </w:rPr>
  </w:style>
  <w:style w:type="paragraph" w:styleId="Heading" w:customStyle="1">
    <w:name w:val="Heading"/>
    <w:basedOn w:val="Normal"/>
    <w:next w:val="TextBody"/>
    <w:qFormat/>
    <w:rsid w:val="00c93bb3"/>
    <w:pPr>
      <w:keepNext w:val="true"/>
      <w:spacing w:before="240" w:after="120"/>
    </w:pPr>
    <w:rPr>
      <w:rFonts w:ascii="Liberation Sans" w:hAnsi="Liberation Sans" w:eastAsia="Microsoft YaHei" w:cs="Arial"/>
      <w:sz w:val="28"/>
      <w:szCs w:val="28"/>
    </w:rPr>
  </w:style>
  <w:style w:type="paragraph" w:styleId="TextBody">
    <w:name w:val="Body Text"/>
    <w:basedOn w:val="Normal"/>
    <w:rsid w:val="00c93bb3"/>
    <w:pPr>
      <w:spacing w:lineRule="auto" w:line="276" w:before="0" w:after="140"/>
    </w:pPr>
    <w:rPr/>
  </w:style>
  <w:style w:type="paragraph" w:styleId="List">
    <w:name w:val="List"/>
    <w:basedOn w:val="TextBody"/>
    <w:rsid w:val="00c93bb3"/>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rsid w:val="00c93bb3"/>
    <w:pPr>
      <w:suppressLineNumbers/>
    </w:pPr>
    <w:rPr>
      <w:rFonts w:cs="Arial"/>
    </w:rPr>
  </w:style>
  <w:style w:type="paragraph" w:styleId="Caption1">
    <w:name w:val="caption"/>
    <w:basedOn w:val="Normal"/>
    <w:qFormat/>
    <w:rsid w:val="00c93bb3"/>
    <w:pPr>
      <w:suppressLineNumbers/>
      <w:spacing w:before="120" w:after="120"/>
    </w:pPr>
    <w:rPr>
      <w:rFonts w:cs="Arial"/>
      <w:i/>
      <w:iCs/>
      <w:szCs w:val="24"/>
    </w:rPr>
  </w:style>
  <w:style w:type="paragraph" w:styleId="BalloonText">
    <w:name w:val="Balloon Text"/>
    <w:basedOn w:val="Normal"/>
    <w:link w:val="BalloonTextChar"/>
    <w:uiPriority w:val="99"/>
    <w:semiHidden/>
    <w:unhideWhenUsed/>
    <w:qFormat/>
    <w:rsid w:val="00c93bb3"/>
    <w:pPr/>
    <w:rPr>
      <w:rFonts w:ascii="Tahoma" w:hAnsi="Tahoma" w:cs="Tahoma"/>
      <w:sz w:val="16"/>
      <w:szCs w:val="16"/>
    </w:rPr>
  </w:style>
  <w:style w:type="paragraph" w:styleId="HeaderandFooter" w:customStyle="1">
    <w:name w:val="Header and Footer"/>
    <w:basedOn w:val="Normal"/>
    <w:qFormat/>
    <w:rsid w:val="00c93bb3"/>
    <w:pPr/>
    <w:rPr/>
  </w:style>
  <w:style w:type="paragraph" w:styleId="Footer">
    <w:name w:val="Footer"/>
    <w:basedOn w:val="Normal"/>
    <w:link w:val="FooterChar"/>
    <w:uiPriority w:val="99"/>
    <w:unhideWhenUsed/>
    <w:qFormat/>
    <w:rsid w:val="00c93bb3"/>
    <w:pPr>
      <w:tabs>
        <w:tab w:val="clear" w:pos="720"/>
        <w:tab w:val="center" w:pos="4680" w:leader="none"/>
        <w:tab w:val="right" w:pos="9360" w:leader="none"/>
      </w:tabs>
    </w:pPr>
    <w:rPr/>
  </w:style>
  <w:style w:type="paragraph" w:styleId="Header">
    <w:name w:val="Header"/>
    <w:basedOn w:val="Normal"/>
    <w:link w:val="HeaderChar"/>
    <w:uiPriority w:val="99"/>
    <w:unhideWhenUsed/>
    <w:qFormat/>
    <w:rsid w:val="00c93bb3"/>
    <w:pPr>
      <w:tabs>
        <w:tab w:val="clear" w:pos="720"/>
        <w:tab w:val="center" w:pos="4680" w:leader="none"/>
        <w:tab w:val="right" w:pos="9360" w:leader="none"/>
      </w:tabs>
    </w:pPr>
    <w:rPr/>
  </w:style>
  <w:style w:type="paragraph" w:styleId="NormalWeb">
    <w:name w:val="Normal (Web)"/>
    <w:basedOn w:val="Normal"/>
    <w:uiPriority w:val="99"/>
    <w:unhideWhenUsed/>
    <w:qFormat/>
    <w:rsid w:val="00c93bb3"/>
    <w:pPr>
      <w:spacing w:beforeAutospacing="1" w:afterAutospacing="1"/>
    </w:pPr>
    <w:rPr>
      <w:szCs w:val="24"/>
    </w:rPr>
  </w:style>
  <w:style w:type="paragraph" w:styleId="ListParagraph">
    <w:name w:val="List Paragraph"/>
    <w:basedOn w:val="Normal"/>
    <w:link w:val="ListParagraphChar"/>
    <w:uiPriority w:val="34"/>
    <w:qFormat/>
    <w:rsid w:val="00c93bb3"/>
    <w:pPr>
      <w:ind w:left="720" w:hanging="0"/>
    </w:pPr>
    <w:rPr>
      <w:szCs w:val="24"/>
      <w:lang w:val="en-GB"/>
    </w:rPr>
  </w:style>
  <w:style w:type="paragraph" w:styleId="Default" w:customStyle="1">
    <w:name w:val="Default"/>
    <w:qFormat/>
    <w:rsid w:val="001804bc"/>
    <w:pPr>
      <w:widowControl/>
      <w:suppressAutoHyphens w:val="true"/>
      <w:bidi w:val="0"/>
      <w:spacing w:before="0" w:after="0"/>
      <w:jc w:val="left"/>
    </w:pPr>
    <w:rPr>
      <w:rFonts w:ascii="Times New Roman" w:hAnsi="Times New Roman" w:eastAsia="Calibri" w:cs="Times New Roman"/>
      <w:color w:val="000000"/>
      <w:kern w:val="0"/>
      <w:sz w:val="24"/>
      <w:szCs w:val="24"/>
      <w:lang w:val="en-US" w:eastAsia="en-US" w:bidi="ar-SA"/>
    </w:rPr>
  </w:style>
  <w:style w:type="paragraph" w:styleId="TableContents" w:customStyle="1">
    <w:name w:val="Table Contents"/>
    <w:basedOn w:val="Normal"/>
    <w:qFormat/>
    <w:rsid w:val="008075fb"/>
    <w:pPr>
      <w:widowControl w:val="false"/>
      <w:suppressLineNumbers/>
    </w:pPr>
    <w:rPr>
      <w:rFonts w:eastAsia="Lucida Sans Unicode"/>
      <w:kern w:val="2"/>
      <w:szCs w:val="24"/>
      <w:lang w:eastAsia="ar-SA"/>
    </w:rPr>
  </w:style>
  <w:style w:type="paragraph" w:styleId="Footnote">
    <w:name w:val="Footnote Text"/>
    <w:basedOn w:val="Normal"/>
    <w:link w:val="FootnoteTextChar"/>
    <w:rsid w:val="008075fb"/>
    <w:pPr>
      <w:widowControl w:val="false"/>
      <w:suppressLineNumbers/>
      <w:ind w:left="283" w:hanging="283"/>
    </w:pPr>
    <w:rPr>
      <w:rFonts w:eastAsia="Lucida Sans Unicode"/>
      <w:kern w:val="2"/>
      <w:sz w:val="20"/>
      <w:szCs w:val="20"/>
      <w:lang w:eastAsia="ar-SA"/>
    </w:rPr>
  </w:style>
  <w:style w:type="paragraph" w:styleId="WWDefault" w:customStyle="1">
    <w:name w:val="WW-Default"/>
    <w:qFormat/>
    <w:rsid w:val="008075fb"/>
    <w:pPr>
      <w:widowControl/>
      <w:suppressAutoHyphens w:val="true"/>
      <w:bidi w:val="0"/>
      <w:spacing w:before="0" w:after="0"/>
      <w:jc w:val="left"/>
    </w:pPr>
    <w:rPr>
      <w:rFonts w:ascii="Arial" w:hAnsi="Arial" w:eastAsia="Times New Roman" w:cs="Arial"/>
      <w:color w:val="000000"/>
      <w:kern w:val="0"/>
      <w:sz w:val="24"/>
      <w:szCs w:val="24"/>
      <w:lang w:val="en-US" w:eastAsia="ar-SA" w:bidi="ar-SA"/>
    </w:rPr>
  </w:style>
  <w:style w:type="paragraph" w:styleId="Style13" w:customStyle="1">
    <w:name w:val="Style1"/>
    <w:basedOn w:val="Normal"/>
    <w:link w:val="Style1Char"/>
    <w:qFormat/>
    <w:rsid w:val="00350a5f"/>
    <w:pPr>
      <w:widowControl w:val="false"/>
    </w:pPr>
    <w:rPr>
      <w:rFonts w:ascii="Lucida Sans Unicode" w:hAnsi="Lucida Sans Unicode" w:eastAsia="Lucida Sans Unicode" w:cs="Lucida Sans Unicode"/>
      <w:kern w:val="2"/>
      <w:szCs w:val="24"/>
      <w:lang w:eastAsia="ar-SA"/>
    </w:rPr>
  </w:style>
  <w:style w:type="paragraph" w:styleId="Clan" w:customStyle="1">
    <w:name w:val="clan"/>
    <w:basedOn w:val="Normal"/>
    <w:qFormat/>
    <w:rsid w:val="00400e7d"/>
    <w:pPr>
      <w:spacing w:before="240" w:after="120"/>
      <w:jc w:val="center"/>
    </w:pPr>
    <w:rPr>
      <w:rFonts w:ascii="Arial" w:hAnsi="Arial" w:eastAsia="Times New Roman" w:cs="Arial"/>
      <w:b/>
      <w:bCs/>
      <w:szCs w:val="24"/>
    </w:rPr>
  </w:style>
  <w:style w:type="paragraph" w:styleId="FrameContents" w:customStyle="1">
    <w:name w:val="Frame Contents"/>
    <w:basedOn w:val="Normal"/>
    <w:qFormat/>
    <w:rsid w:val="00c93bb3"/>
    <w:pPr/>
    <w:rPr/>
  </w:style>
  <w:style w:type="paragraph" w:styleId="Style62" w:customStyle="1">
    <w:name w:val="Style62"/>
    <w:basedOn w:val="Normal"/>
    <w:qFormat/>
    <w:rsid w:val="00971d3e"/>
    <w:pPr>
      <w:widowControl w:val="false"/>
      <w:suppressAutoHyphens w:val="false"/>
      <w:spacing w:lineRule="exact" w:line="278"/>
      <w:ind w:hanging="346"/>
    </w:pPr>
    <w:rPr>
      <w:rFonts w:eastAsia="Times New Roman"/>
      <w:szCs w:val="24"/>
    </w:rPr>
  </w:style>
  <w:style w:type="paragraph" w:styleId="TextBodyIndent">
    <w:name w:val="Body Text Indent"/>
    <w:basedOn w:val="Normal"/>
    <w:link w:val="BodyTextIndentChar"/>
    <w:uiPriority w:val="99"/>
    <w:semiHidden/>
    <w:unhideWhenUsed/>
    <w:rsid w:val="00684a52"/>
    <w:pPr>
      <w:spacing w:before="0" w:after="120"/>
      <w:ind w:left="360" w:hanging="0"/>
    </w:pPr>
    <w:rPr/>
  </w:style>
  <w:style w:type="paragraph" w:styleId="NoSpacing">
    <w:name w:val="No Spacing"/>
    <w:link w:val="NoSpacingChar"/>
    <w:qFormat/>
    <w:rsid w:val="002c75f1"/>
    <w:pPr>
      <w:widowControl/>
      <w:suppressAutoHyphens w:val="false"/>
      <w:bidi w:val="0"/>
      <w:spacing w:before="0" w:after="0"/>
      <w:jc w:val="left"/>
    </w:pPr>
    <w:rPr>
      <w:rFonts w:ascii="Calibri" w:hAnsi="Calibri" w:eastAsia="Calibri" w:cs="Times New Roman"/>
      <w:color w:val="auto"/>
      <w:kern w:val="0"/>
      <w:sz w:val="22"/>
      <w:szCs w:val="22"/>
      <w:lang w:val="sr-Latn-CS" w:eastAsia="en-US" w:bidi="ar-SA"/>
    </w:rPr>
  </w:style>
  <w:style w:type="paragraph" w:styleId="Crticeprvired" w:customStyle="1">
    <w:name w:val="crtice-prvi_red"/>
    <w:basedOn w:val="Normal"/>
    <w:qFormat/>
    <w:rsid w:val="00d378c0"/>
    <w:pPr>
      <w:numPr>
        <w:ilvl w:val="0"/>
        <w:numId w:val="22"/>
      </w:numPr>
      <w:suppressAutoHyphens w:val="false"/>
      <w:spacing w:lineRule="auto" w:line="288" w:before="0" w:after="120"/>
    </w:pPr>
    <w:rPr>
      <w:rFonts w:ascii="Garamond" w:hAnsi="Garamond" w:eastAsia="Times New Roman"/>
      <w:color w:val="000080"/>
      <w:sz w:val="16"/>
      <w:szCs w:val="20"/>
      <w:lang w:val="sr-Latn-CS"/>
    </w:rPr>
  </w:style>
  <w:style w:type="paragraph" w:styleId="TableHeading" w:customStyle="1">
    <w:name w:val="Table Heading"/>
    <w:basedOn w:val="TableContents"/>
    <w:qFormat/>
    <w:rsid w:val="00c93bb3"/>
    <w:pPr>
      <w:jc w:val="center"/>
    </w:pPr>
    <w:rPr>
      <w:b/>
      <w:bCs/>
    </w:rPr>
  </w:style>
  <w:style w:type="paragraph" w:styleId="BodyText2">
    <w:name w:val="Body Text 2"/>
    <w:basedOn w:val="Normal"/>
    <w:link w:val="BodyText2Char"/>
    <w:uiPriority w:val="99"/>
    <w:semiHidden/>
    <w:unhideWhenUsed/>
    <w:qFormat/>
    <w:rsid w:val="00c41635"/>
    <w:pPr>
      <w:spacing w:lineRule="auto" w:line="480" w:before="0" w:after="120"/>
    </w:pPr>
    <w:rPr/>
  </w:style>
  <w:style w:type="numbering" w:styleId="NoList" w:default="1">
    <w:name w:val="No List"/>
    <w:uiPriority w:val="99"/>
    <w:semiHidden/>
    <w:unhideWhenUsed/>
    <w:qFormat/>
  </w:style>
  <w:style w:type="numbering" w:styleId="WW8Num14" w:customStyle="1">
    <w:name w:val="WW8Num14"/>
    <w:qFormat/>
    <w:rsid w:val="00c93bb3"/>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qFormat/>
    <w:rsid w:val="00c93bb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TableNormal"/>
    <w:uiPriority w:val="59"/>
    <w:rsid w:val="001712fa"/>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ropisionline.com/IndOk/Legislation/55608" TargetMode="External"/><Relationship Id="rId3" Type="http://schemas.openxmlformats.org/officeDocument/2006/relationships/hyperlink" Target="http://www.propisionline.com/IndOk/Legislation/55608" TargetMode="Externa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C28D3-8991-4DA6-9065-31748B4B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TotalTime>
  <Application>LibreOffice/7.2.2.2$Windows_X86_64 LibreOffice_project/02b2acce88a210515b4a5bb2e46cbfb63fe97d56</Application>
  <AppVersion>15.0000</AppVersion>
  <Pages>40</Pages>
  <Words>16482</Words>
  <Characters>99218</Characters>
  <CharactersWithSpaces>115445</CharactersWithSpaces>
  <Paragraphs>846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2023-05-04T06:21:00Z</dcterms:created>
  <dc:creator>PLAURBAN</dc:creator>
  <dc:description>DocumentCreationInfo</dc:description>
  <dc:language>en-US</dc:language>
  <cp:lastModifiedBy/>
  <cp:lastPrinted>2024-03-07T14:05:28Z</cp:lastPrinted>
  <dcterms:modified xsi:type="dcterms:W3CDTF">2024-03-07T14:24:50Z</dcterms:modified>
  <cp:revision>358</cp:revision>
  <dc:subject/>
  <dc:title>Microsoft Word - RANI JAVNI UVID 25.3.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